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334645</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292100</wp:posOffset>
            </wp:positionV>
            <wp:extent cx="71329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30" w:lineRule="exact"/>
        <w:rPr>
          <w:sz w:val="24"/>
          <w:szCs w:val="24"/>
          <w:color w:val="auto"/>
        </w:rPr>
      </w:pPr>
    </w:p>
    <w:p>
      <w:pPr>
        <w:ind w:left="480" w:hanging="455"/>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ind w:left="480" w:hanging="455"/>
        <w:spacing w:after="0" w:line="199" w:lineRule="auto"/>
        <w:tabs>
          <w:tab w:leader="none" w:pos="480" w:val="left"/>
        </w:tabs>
        <w:numPr>
          <w:ilvl w:val="0"/>
          <w:numId w:val="2"/>
        </w:numPr>
        <w:rPr>
          <w:rFonts w:ascii="MS PGothic" w:cs="MS PGothic" w:eastAsia="MS PGothic" w:hAnsi="MS PGothic"/>
          <w:sz w:val="29"/>
          <w:szCs w:val="29"/>
          <w:color w:val="auto"/>
          <w:vertAlign w:val="subscript"/>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 file number 001-36777</w:t>
      </w:r>
    </w:p>
    <w:p>
      <w:pPr>
        <w:spacing w:after="0" w:line="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JAMES RIVER GROUP HOLDINGS, LTD.</w:t>
      </w:r>
    </w:p>
    <w:p>
      <w:pPr>
        <w:spacing w:after="0" w:line="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148" w:lineRule="exact"/>
        <w:rPr>
          <w:sz w:val="24"/>
          <w:szCs w:val="24"/>
          <w:color w:val="auto"/>
        </w:rPr>
      </w:pPr>
    </w:p>
    <w:tbl>
      <w:tblPr>
        <w:tblLayout w:type="fixed"/>
        <w:tblInd w:w="800" w:type="dxa"/>
        <w:tblCellMar>
          <w:top w:w="0" w:type="dxa"/>
          <w:left w:w="0" w:type="dxa"/>
          <w:bottom w:w="0" w:type="dxa"/>
          <w:right w:w="0" w:type="dxa"/>
        </w:tblCellMar>
      </w:tblPr>
      <w:tr>
        <w:trPr>
          <w:trHeight w:val="212"/>
        </w:trPr>
        <w:tc>
          <w:tcPr>
            <w:tcW w:w="4880" w:type="dxa"/>
            <w:vAlign w:val="bottom"/>
          </w:tcPr>
          <w:p>
            <w:pPr>
              <w:ind w:left="1700"/>
              <w:spacing w:after="0"/>
              <w:rPr>
                <w:sz w:val="20"/>
                <w:szCs w:val="20"/>
                <w:color w:val="auto"/>
              </w:rPr>
            </w:pPr>
            <w:r>
              <w:rPr>
                <w:rFonts w:ascii="Times New Roman" w:cs="Times New Roman" w:eastAsia="Times New Roman" w:hAnsi="Times New Roman"/>
                <w:sz w:val="16"/>
                <w:szCs w:val="16"/>
                <w:b w:val="1"/>
                <w:bCs w:val="1"/>
                <w:color w:val="auto"/>
              </w:rPr>
              <w:t>Bermuda</w:t>
            </w:r>
          </w:p>
        </w:tc>
        <w:tc>
          <w:tcPr>
            <w:tcW w:w="3620" w:type="dxa"/>
            <w:vAlign w:val="bottom"/>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98-0585280</w:t>
            </w:r>
          </w:p>
        </w:tc>
      </w:tr>
      <w:tr>
        <w:trPr>
          <w:trHeight w:val="192"/>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tc>
        <w:tc>
          <w:tcPr>
            <w:tcW w:w="3620" w:type="dxa"/>
            <w:vAlign w:val="bottom"/>
          </w:tcPr>
          <w:p>
            <w:pPr>
              <w:jc w:val="center"/>
              <w:ind w:left="1808"/>
              <w:spacing w:after="0"/>
              <w:rPr>
                <w:sz w:val="20"/>
                <w:szCs w:val="20"/>
                <w:color w:val="auto"/>
              </w:rPr>
            </w:pPr>
            <w:r>
              <w:rPr>
                <w:rFonts w:ascii="Times New Roman" w:cs="Times New Roman" w:eastAsia="Times New Roman" w:hAnsi="Times New Roman"/>
                <w:sz w:val="13"/>
                <w:szCs w:val="13"/>
                <w:color w:val="auto"/>
                <w:w w:val="97"/>
              </w:rPr>
              <w:t>(IRS Employer Identification No.)</w:t>
            </w:r>
          </w:p>
        </w:tc>
      </w:tr>
    </w:tbl>
    <w:p>
      <w:pPr>
        <w:spacing w:after="0" w:line="20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Clarendon House, 2 Church Street, Hamilton, Pembroke HM11, Bermuda</w:t>
      </w:r>
    </w:p>
    <w:p>
      <w:pPr>
        <w:spacing w:after="0" w:line="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7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(441) 295-1422</w:t>
      </w:r>
    </w:p>
    <w:p>
      <w:pPr>
        <w:spacing w:after="0" w:line="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83" w:lineRule="exact"/>
        <w:rPr>
          <w:sz w:val="24"/>
          <w:szCs w:val="24"/>
          <w:color w:val="auto"/>
        </w:rPr>
      </w:pPr>
    </w:p>
    <w:tbl>
      <w:tblPr>
        <w:tblLayout w:type="fixed"/>
        <w:tblInd w:w="1420" w:type="dxa"/>
        <w:tblCellMar>
          <w:top w:w="0" w:type="dxa"/>
          <w:left w:w="0" w:type="dxa"/>
          <w:bottom w:w="0" w:type="dxa"/>
          <w:right w:w="0" w:type="dxa"/>
        </w:tblCellMar>
      </w:tblPr>
      <w:tr>
        <w:trPr>
          <w:trHeight w:val="184"/>
        </w:trPr>
        <w:tc>
          <w:tcPr>
            <w:tcW w:w="880" w:type="dxa"/>
            <w:vAlign w:val="bottom"/>
          </w:tcPr>
          <w:p>
            <w:pPr>
              <w:spacing w:after="0"/>
              <w:rPr>
                <w:sz w:val="15"/>
                <w:szCs w:val="15"/>
                <w:color w:val="auto"/>
              </w:rPr>
            </w:pPr>
          </w:p>
        </w:tc>
        <w:tc>
          <w:tcPr>
            <w:tcW w:w="2640" w:type="dxa"/>
            <w:vAlign w:val="bottom"/>
            <w:gridSpan w:val="2"/>
          </w:tcPr>
          <w:p>
            <w:pPr>
              <w:jc w:val="center"/>
              <w:ind w:right="148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90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color w:val="auto"/>
              </w:rPr>
              <w:t>Trading Symbol(s)</w:t>
            </w:r>
          </w:p>
        </w:tc>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Names of each exchange on which registered</w:t>
            </w:r>
          </w:p>
        </w:tc>
      </w:tr>
      <w:tr>
        <w:trPr>
          <w:trHeight w:val="20"/>
        </w:trPr>
        <w:tc>
          <w:tcPr>
            <w:tcW w:w="8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r>
      <w:tr>
        <w:trPr>
          <w:trHeight w:val="283"/>
        </w:trPr>
        <w:tc>
          <w:tcPr>
            <w:tcW w:w="352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color w:val="auto"/>
              </w:rPr>
              <w:t>Common Shares, par value $0.0002 per share</w:t>
            </w:r>
          </w:p>
        </w:tc>
        <w:tc>
          <w:tcPr>
            <w:tcW w:w="190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color w:val="auto"/>
                <w:w w:val="97"/>
              </w:rPr>
              <w:t>JRVR</w:t>
            </w:r>
          </w:p>
        </w:tc>
        <w:tc>
          <w:tcPr>
            <w:tcW w:w="2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24"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47" w:lineRule="exact"/>
        <w:rPr>
          <w:sz w:val="24"/>
          <w:szCs w:val="24"/>
          <w:color w:val="auto"/>
        </w:rPr>
      </w:pPr>
    </w:p>
    <w:p>
      <w:pPr>
        <w:ind w:right="3300"/>
        <w:spacing w:after="0" w:line="2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74" w:lineRule="exact"/>
        <w:rPr>
          <w:sz w:val="24"/>
          <w:szCs w:val="24"/>
          <w:color w:val="auto"/>
        </w:rPr>
      </w:pPr>
    </w:p>
    <w:p>
      <w:pPr>
        <w:ind w:right="220"/>
        <w:spacing w:after="0" w:line="19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60"/>
        <w:spacing w:after="0" w:line="19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440"/>
        <w:spacing w:after="0" w:line="26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ind w:left="120"/>
        <w:spacing w:after="0" w:line="242" w:lineRule="exact"/>
        <w:tabs>
          <w:tab w:leader="none" w:pos="1880" w:val="left"/>
          <w:tab w:leader="none" w:pos="2240" w:val="left"/>
          <w:tab w:leader="none" w:pos="3680" w:val="left"/>
          <w:tab w:leader="none" w:pos="5640" w:val="left"/>
          <w:tab w:leader="none" w:pos="6000" w:val="left"/>
          <w:tab w:leader="none" w:pos="8180" w:val="left"/>
          <w:tab w:leader="none" w:pos="9100" w:val="left"/>
        </w:tabs>
        <w:rPr>
          <w:sz w:val="20"/>
          <w:szCs w:val="20"/>
          <w:color w:val="auto"/>
        </w:rPr>
      </w:pPr>
      <w:r>
        <w:rPr>
          <w:rFonts w:ascii="Times New Roman" w:cs="Times New Roman" w:eastAsia="Times New Roman" w:hAnsi="Times New Roman"/>
          <w:sz w:val="14"/>
          <w:szCs w:val="14"/>
          <w:b w:val="1"/>
          <w:bCs w:val="1"/>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Accelerated filer</w:t>
      </w:r>
      <w:r>
        <w:rPr>
          <w:sz w:val="20"/>
          <w:szCs w:val="20"/>
          <w:color w:val="auto"/>
        </w:rPr>
        <w:tab/>
      </w:r>
      <w:r>
        <w:rPr>
          <w:rFonts w:ascii="Wingdings" w:cs="Wingdings" w:eastAsia="Wingdings" w:hAnsi="Wingdings"/>
          <w:sz w:val="16"/>
          <w:szCs w:val="16"/>
          <w:b w:val="1"/>
          <w:bCs w:val="1"/>
          <w:color w:val="auto"/>
        </w:rPr>
        <w:t xml:space="preserve">x </w:t>
      </w:r>
      <w:r>
        <w:rPr>
          <w:rFonts w:ascii="Times New Roman" w:cs="Times New Roman" w:eastAsia="Times New Roman" w:hAnsi="Times New Roman"/>
          <w:sz w:val="14"/>
          <w:szCs w:val="14"/>
          <w:b w:val="1"/>
          <w:bCs w:val="1"/>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28"/>
          <w:szCs w:val="28"/>
          <w:b w:val="1"/>
          <w:bCs w:val="1"/>
          <w:color w:val="auto"/>
          <w:vertAlign w:val="subscript"/>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 xml:space="preserve">Emerging growth company </w:t>
      </w:r>
      <w:r>
        <w:rPr>
          <w:rFonts w:ascii="MS PGothic" w:cs="MS PGothic" w:eastAsia="MS PGothic" w:hAnsi="MS PGothic"/>
          <w:sz w:val="14"/>
          <w:szCs w:val="14"/>
          <w:color w:val="auto"/>
        </w:rPr>
        <w:t>☐</w:t>
      </w:r>
    </w:p>
    <w:p>
      <w:pPr>
        <w:spacing w:after="0" w:line="98" w:lineRule="exact"/>
        <w:rPr>
          <w:sz w:val="24"/>
          <w:szCs w:val="24"/>
          <w:color w:val="auto"/>
        </w:rPr>
      </w:pPr>
    </w:p>
    <w:p>
      <w:pPr>
        <w:spacing w:after="0" w:line="19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3" w:lineRule="exact"/>
        <w:rPr>
          <w:sz w:val="24"/>
          <w:szCs w:val="24"/>
          <w:color w:val="auto"/>
        </w:rPr>
      </w:pPr>
    </w:p>
    <w:p>
      <w:pPr>
        <w:ind w:right="60"/>
        <w:spacing w:after="0" w:line="22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r>
        <w:rPr>
          <w:rFonts w:ascii="MS PGothic" w:cs="MS PGothic" w:eastAsia="MS PGothic" w:hAnsi="MS PGothic"/>
          <w:sz w:val="17"/>
          <w:szCs w:val="17"/>
          <w:color w:val="auto"/>
        </w:rPr>
        <w:t>☒</w:t>
      </w:r>
    </w:p>
    <w:p>
      <w:pPr>
        <w:spacing w:after="0" w:line="58" w:lineRule="exact"/>
        <w:rPr>
          <w:sz w:val="24"/>
          <w:szCs w:val="24"/>
          <w:color w:val="auto"/>
        </w:rPr>
      </w:pPr>
    </w:p>
    <w:p>
      <w:pPr>
        <w:ind w:right="140"/>
        <w:spacing w:after="0" w:line="199"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3" w:lineRule="exact"/>
        <w:rPr>
          <w:sz w:val="24"/>
          <w:szCs w:val="24"/>
          <w:color w:val="auto"/>
        </w:rPr>
      </w:pPr>
    </w:p>
    <w:p>
      <w:pPr>
        <w:ind w:right="300"/>
        <w:spacing w:after="0" w:line="19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52" w:lineRule="exact"/>
        <w:rPr>
          <w:sz w:val="24"/>
          <w:szCs w:val="24"/>
          <w:color w:val="auto"/>
        </w:rPr>
      </w:pPr>
    </w:p>
    <w:p>
      <w:pPr>
        <w:ind w:right="20"/>
        <w:spacing w:after="0" w:line="297" w:lineRule="auto"/>
        <w:rPr>
          <w:sz w:val="20"/>
          <w:szCs w:val="20"/>
          <w:color w:val="auto"/>
        </w:rPr>
      </w:pPr>
      <w:r>
        <w:rPr>
          <w:rFonts w:ascii="Times New Roman" w:cs="Times New Roman" w:eastAsia="Times New Roman" w:hAnsi="Times New Roman"/>
          <w:sz w:val="14"/>
          <w:szCs w:val="14"/>
          <w:color w:val="auto"/>
        </w:rPr>
        <w:t>The aggregate market value of the registrant’s common shares held by non-affiliates of the registrant as of June 30, 2024, computed by reference to the closing sales price on the NASDAQ Global Select Market on that date, was approximately $288,761,772.</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the registrant’s common shares outstanding was 45,644,318 as of February 28, 2025.</w:t>
      </w:r>
    </w:p>
    <w:p>
      <w:pPr>
        <w:spacing w:after="0" w:line="1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4" w:lineRule="exact"/>
        <w:rPr>
          <w:sz w:val="24"/>
          <w:szCs w:val="24"/>
          <w:color w:val="auto"/>
        </w:rPr>
      </w:pPr>
    </w:p>
    <w:p>
      <w:pPr>
        <w:spacing w:after="0" w:line="297" w:lineRule="auto"/>
        <w:rPr>
          <w:sz w:val="20"/>
          <w:szCs w:val="20"/>
          <w:color w:val="auto"/>
        </w:rPr>
      </w:pPr>
      <w:r>
        <w:rPr>
          <w:rFonts w:ascii="Times New Roman" w:cs="Times New Roman" w:eastAsia="Times New Roman" w:hAnsi="Times New Roman"/>
          <w:sz w:val="14"/>
          <w:szCs w:val="14"/>
          <w:color w:val="auto"/>
        </w:rPr>
        <w:t>Portions of the James River Group Holdings, Ltd. Proxy Statement for the 2025 Annual General Meeting of Shareholders may be incorporated by reference into Part III hereof. Alternatively, such Part III information may be filed by James River Group Holdings, Ltd. by an amendment to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644525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85725</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60325</wp:posOffset>
            </wp:positionV>
            <wp:extent cx="7132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0" w:type="dxa"/>
            <w:vAlign w:val="bottom"/>
            <w:tcBorders>
              <w:right w:val="single" w:sz="8" w:color="CCEEFF"/>
            </w:tcBorders>
          </w:tcPr>
          <w:p>
            <w:pPr>
              <w:spacing w:after="0"/>
              <w:rPr>
                <w:sz w:val="15"/>
                <w:szCs w:val="15"/>
                <w:color w:val="auto"/>
              </w:rPr>
            </w:pPr>
          </w:p>
        </w:tc>
        <w:tc>
          <w:tcPr>
            <w:tcW w:w="1260" w:type="dxa"/>
            <w:vAlign w:val="bottom"/>
            <w:gridSpan w:val="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PART I</w:t>
            </w: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gridSpan w:val="5"/>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5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20" w:type="dxa"/>
            <w:vAlign w:val="bottom"/>
            <w:gridSpan w:val="4"/>
          </w:tcPr>
          <w:p>
            <w:pPr>
              <w:spacing w:after="0"/>
              <w:rPr>
                <w:sz w:val="16"/>
                <w:szCs w:val="16"/>
                <w:color w:val="auto"/>
              </w:rPr>
            </w:pPr>
          </w:p>
        </w:tc>
        <w:tc>
          <w:tcPr>
            <w:tcW w:w="9180" w:type="dxa"/>
            <w:vAlign w:val="bottom"/>
            <w:gridSpan w:val="28"/>
          </w:tcPr>
          <w:p>
            <w:pPr>
              <w:ind w:left="580"/>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74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Borders>
              <w:right w:val="single" w:sz="8" w:color="CCEEFF"/>
            </w:tcBorders>
          </w:tcPr>
          <w:p>
            <w:pPr>
              <w:spacing w:after="0"/>
              <w:rPr>
                <w:sz w:val="16"/>
                <w:szCs w:val="16"/>
                <w:color w:val="auto"/>
              </w:rPr>
            </w:pPr>
          </w:p>
        </w:tc>
        <w:tc>
          <w:tcPr>
            <w:tcW w:w="12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9180" w:type="dxa"/>
            <w:vAlign w:val="bottom"/>
            <w:gridSpan w:val="28"/>
            <w:shd w:val="clear" w:color="auto" w:fill="CCEEFF"/>
          </w:tcPr>
          <w:p>
            <w:pPr>
              <w:ind w:left="58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7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6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1B.</w:t>
            </w:r>
          </w:p>
        </w:tc>
        <w:tc>
          <w:tcPr>
            <w:tcW w:w="620" w:type="dxa"/>
            <w:vAlign w:val="bottom"/>
            <w:gridSpan w:val="2"/>
          </w:tcPr>
          <w:p>
            <w:pPr>
              <w:spacing w:after="0"/>
              <w:rPr>
                <w:sz w:val="16"/>
                <w:szCs w:val="16"/>
                <w:color w:val="auto"/>
              </w:rPr>
            </w:pPr>
          </w:p>
        </w:tc>
        <w:tc>
          <w:tcPr>
            <w:tcW w:w="9180" w:type="dxa"/>
            <w:vAlign w:val="bottom"/>
            <w:gridSpan w:val="28"/>
          </w:tcPr>
          <w:p>
            <w:pPr>
              <w:ind w:left="580"/>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Borders>
              <w:right w:val="single" w:sz="8" w:color="CCEEFF"/>
            </w:tcBorders>
          </w:tcPr>
          <w:p>
            <w:pPr>
              <w:spacing w:after="0"/>
              <w:rPr>
                <w:sz w:val="16"/>
                <w:szCs w:val="16"/>
                <w:color w:val="auto"/>
              </w:rPr>
            </w:pPr>
          </w:p>
        </w:tc>
        <w:tc>
          <w:tcPr>
            <w:tcW w:w="6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1C.</w:t>
            </w:r>
          </w:p>
        </w:tc>
        <w:tc>
          <w:tcPr>
            <w:tcW w:w="620" w:type="dxa"/>
            <w:vAlign w:val="bottom"/>
            <w:gridSpan w:val="2"/>
            <w:shd w:val="clear" w:color="auto" w:fill="CCEEFF"/>
          </w:tcPr>
          <w:p>
            <w:pPr>
              <w:spacing w:after="0"/>
              <w:rPr>
                <w:sz w:val="16"/>
                <w:szCs w:val="16"/>
                <w:color w:val="auto"/>
              </w:rPr>
            </w:pPr>
          </w:p>
        </w:tc>
        <w:tc>
          <w:tcPr>
            <w:tcW w:w="9180" w:type="dxa"/>
            <w:vAlign w:val="bottom"/>
            <w:gridSpan w:val="28"/>
            <w:shd w:val="clear" w:color="auto" w:fill="CCEEFF"/>
          </w:tcPr>
          <w:p>
            <w:pPr>
              <w:ind w:left="580"/>
              <w:spacing w:after="0" w:line="189" w:lineRule="exact"/>
              <w:rPr>
                <w:sz w:val="20"/>
                <w:szCs w:val="20"/>
                <w:color w:val="auto"/>
              </w:rPr>
            </w:pPr>
            <w:r>
              <w:rPr>
                <w:rFonts w:ascii="Times New Roman" w:cs="Times New Roman" w:eastAsia="Times New Roman" w:hAnsi="Times New Roman"/>
                <w:sz w:val="18"/>
                <w:szCs w:val="18"/>
                <w:color w:val="0000FF"/>
              </w:rPr>
              <w:t>CYBERSECURITY</w:t>
            </w:r>
          </w:p>
        </w:tc>
        <w:tc>
          <w:tcPr>
            <w:tcW w:w="7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6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620" w:type="dxa"/>
            <w:vAlign w:val="bottom"/>
            <w:gridSpan w:val="2"/>
          </w:tcPr>
          <w:p>
            <w:pPr>
              <w:spacing w:after="0"/>
              <w:rPr>
                <w:sz w:val="16"/>
                <w:szCs w:val="16"/>
                <w:color w:val="auto"/>
              </w:rPr>
            </w:pPr>
          </w:p>
        </w:tc>
        <w:tc>
          <w:tcPr>
            <w:tcW w:w="9180" w:type="dxa"/>
            <w:vAlign w:val="bottom"/>
            <w:gridSpan w:val="28"/>
          </w:tcPr>
          <w:p>
            <w:pPr>
              <w:ind w:left="580"/>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7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Borders>
              <w:right w:val="single" w:sz="8" w:color="CCEEFF"/>
            </w:tcBorders>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740" w:type="dxa"/>
            <w:vAlign w:val="bottom"/>
            <w:gridSpan w:val="5"/>
            <w:shd w:val="clear" w:color="auto" w:fill="CCEEFF"/>
          </w:tcPr>
          <w:p>
            <w:pPr>
              <w:spacing w:after="0"/>
              <w:rPr>
                <w:sz w:val="16"/>
                <w:szCs w:val="16"/>
                <w:color w:val="auto"/>
              </w:rPr>
            </w:pPr>
          </w:p>
        </w:tc>
        <w:tc>
          <w:tcPr>
            <w:tcW w:w="9180" w:type="dxa"/>
            <w:vAlign w:val="bottom"/>
            <w:gridSpan w:val="28"/>
            <w:shd w:val="clear" w:color="auto" w:fill="CCEEFF"/>
          </w:tcPr>
          <w:p>
            <w:pPr>
              <w:ind w:left="58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740" w:type="dxa"/>
            <w:vAlign w:val="bottom"/>
            <w:gridSpan w:val="5"/>
          </w:tcPr>
          <w:p>
            <w:pPr>
              <w:spacing w:after="0"/>
              <w:rPr>
                <w:sz w:val="16"/>
                <w:szCs w:val="16"/>
                <w:color w:val="auto"/>
              </w:rPr>
            </w:pPr>
          </w:p>
        </w:tc>
        <w:tc>
          <w:tcPr>
            <w:tcW w:w="9180" w:type="dxa"/>
            <w:vAlign w:val="bottom"/>
            <w:gridSpan w:val="28"/>
          </w:tcPr>
          <w:p>
            <w:pPr>
              <w:ind w:left="580"/>
              <w:spacing w:after="0" w:line="189" w:lineRule="exact"/>
              <w:rPr>
                <w:sz w:val="20"/>
                <w:szCs w:val="20"/>
                <w:color w:val="auto"/>
              </w:rPr>
            </w:pPr>
            <w:r>
              <w:rPr>
                <w:rFonts w:ascii="Times New Roman" w:cs="Times New Roman" w:eastAsia="Times New Roman" w:hAnsi="Times New Roman"/>
                <w:sz w:val="18"/>
                <w:szCs w:val="18"/>
                <w:color w:val="0000FF"/>
              </w:rPr>
              <w:t>MINE SAFETY DISCLOSURE</w:t>
            </w:r>
          </w:p>
        </w:tc>
        <w:tc>
          <w:tcPr>
            <w:tcW w:w="7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2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II</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600" w:type="dxa"/>
            <w:vAlign w:val="bottom"/>
            <w:tcBorders>
              <w:top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660" w:type="dxa"/>
            <w:vAlign w:val="bottom"/>
            <w:tcBorders>
              <w:top w:val="single" w:sz="8" w:color="CCEEFF"/>
            </w:tcBorders>
            <w:gridSpan w:val="3"/>
          </w:tcPr>
          <w:p>
            <w:pPr>
              <w:spacing w:after="0"/>
              <w:rPr>
                <w:sz w:val="16"/>
                <w:szCs w:val="16"/>
                <w:color w:val="auto"/>
              </w:rPr>
            </w:pPr>
          </w:p>
        </w:tc>
        <w:tc>
          <w:tcPr>
            <w:tcW w:w="9180" w:type="dxa"/>
            <w:vAlign w:val="bottom"/>
            <w:tcBorders>
              <w:top w:val="single" w:sz="8" w:color="CCEEFF"/>
            </w:tcBorders>
            <w:gridSpan w:val="28"/>
          </w:tcPr>
          <w:p>
            <w:pPr>
              <w:ind w:left="580"/>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w:t>
            </w:r>
          </w:p>
        </w:tc>
        <w:tc>
          <w:tcPr>
            <w:tcW w:w="540" w:type="dxa"/>
            <w:vAlign w:val="bottom"/>
            <w:tcBorders>
              <w:top w:val="single" w:sz="8" w:color="CCEEFF"/>
            </w:tcBorders>
            <w:gridSpan w:val="2"/>
            <w:vMerge w:val="restart"/>
          </w:tcPr>
          <w:p>
            <w:pPr>
              <w:spacing w:after="0"/>
              <w:rPr>
                <w:sz w:val="16"/>
                <w:szCs w:val="16"/>
                <w:color w:val="auto"/>
              </w:rPr>
            </w:pPr>
          </w:p>
        </w:tc>
        <w:tc>
          <w:tcPr>
            <w:tcW w:w="180" w:type="dxa"/>
            <w:vAlign w:val="bottom"/>
            <w:tcBorders>
              <w:top w:val="single" w:sz="8" w:color="0000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80" w:type="dxa"/>
            <w:vAlign w:val="bottom"/>
            <w:tcBorders>
              <w:top w:val="single" w:sz="8" w:color="0000FF"/>
              <w:bottom w:val="single" w:sz="8" w:color="0000FF"/>
            </w:tcBorders>
            <w:gridSpan w:val="15"/>
          </w:tcPr>
          <w:p>
            <w:pPr>
              <w:spacing w:after="0" w:line="142" w:lineRule="exact"/>
              <w:rPr>
                <w:sz w:val="20"/>
                <w:szCs w:val="20"/>
                <w:color w:val="auto"/>
              </w:rPr>
            </w:pPr>
            <w:r>
              <w:rPr>
                <w:rFonts w:ascii="Times New Roman" w:cs="Times New Roman" w:eastAsia="Times New Roman" w:hAnsi="Times New Roman"/>
                <w:sz w:val="16"/>
                <w:szCs w:val="16"/>
                <w:color w:val="0000FF"/>
              </w:rPr>
              <w:t>PURCHASES OF EQUITY SECURITIES</w:t>
            </w:r>
          </w:p>
        </w:tc>
        <w:tc>
          <w:tcPr>
            <w:tcW w:w="5140" w:type="dxa"/>
            <w:vAlign w:val="bottom"/>
            <w:tcBorders>
              <w:top w:val="single" w:sz="8" w:color="0000FF"/>
            </w:tcBorders>
            <w:gridSpan w:val="11"/>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Borders>
              <w:top w:val="single" w:sz="8" w:color="CCEEFF"/>
            </w:tcBorders>
            <w:gridSpan w:val="2"/>
            <w:vMerge w:val="continue"/>
          </w:tcPr>
          <w:p>
            <w:pPr>
              <w:spacing w:after="0"/>
              <w:rPr>
                <w:sz w:val="15"/>
                <w:szCs w:val="15"/>
                <w:color w:val="auto"/>
              </w:rPr>
            </w:pPr>
          </w:p>
        </w:tc>
        <w:tc>
          <w:tcPr>
            <w:tcW w:w="180" w:type="dxa"/>
            <w:vAlign w:val="bottom"/>
            <w:tcBorders>
              <w:top w:val="single" w:sz="8" w:color="0000FF"/>
              <w:bottom w:val="single" w:sz="8" w:color="0000FF"/>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7"/>
              </w:rPr>
              <w:t>Item 6.</w:t>
            </w:r>
          </w:p>
        </w:tc>
        <w:tc>
          <w:tcPr>
            <w:tcW w:w="740" w:type="dxa"/>
            <w:vAlign w:val="bottom"/>
            <w:gridSpan w:val="5"/>
            <w:shd w:val="clear" w:color="auto" w:fill="CCEEFF"/>
          </w:tcPr>
          <w:p>
            <w:pPr>
              <w:spacing w:after="0"/>
              <w:rPr>
                <w:sz w:val="17"/>
                <w:szCs w:val="17"/>
                <w:color w:val="auto"/>
              </w:rPr>
            </w:pPr>
          </w:p>
        </w:tc>
        <w:tc>
          <w:tcPr>
            <w:tcW w:w="9180" w:type="dxa"/>
            <w:vAlign w:val="bottom"/>
            <w:gridSpan w:val="28"/>
            <w:shd w:val="clear" w:color="auto" w:fill="CCEEFF"/>
          </w:tcPr>
          <w:p>
            <w:pPr>
              <w:ind w:left="580"/>
              <w:spacing w:after="0" w:line="202" w:lineRule="exact"/>
              <w:rPr>
                <w:sz w:val="20"/>
                <w:szCs w:val="20"/>
                <w:color w:val="auto"/>
              </w:rPr>
            </w:pPr>
            <w:r>
              <w:rPr>
                <w:rFonts w:ascii="Times New Roman" w:cs="Times New Roman" w:eastAsia="Times New Roman" w:hAnsi="Times New Roman"/>
                <w:sz w:val="18"/>
                <w:szCs w:val="18"/>
                <w:color w:val="0000FF"/>
              </w:rPr>
              <w:t>[RESERVED]</w:t>
            </w:r>
          </w:p>
        </w:tc>
        <w:tc>
          <w:tcPr>
            <w:tcW w:w="720" w:type="dxa"/>
            <w:vAlign w:val="bottom"/>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60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7.</w:t>
            </w:r>
          </w:p>
        </w:tc>
        <w:tc>
          <w:tcPr>
            <w:tcW w:w="740" w:type="dxa"/>
            <w:vAlign w:val="bottom"/>
            <w:gridSpan w:val="5"/>
          </w:tcPr>
          <w:p>
            <w:pPr>
              <w:spacing w:after="0"/>
              <w:rPr>
                <w:sz w:val="16"/>
                <w:szCs w:val="16"/>
                <w:color w:val="auto"/>
              </w:rPr>
            </w:pPr>
          </w:p>
        </w:tc>
        <w:tc>
          <w:tcPr>
            <w:tcW w:w="9180" w:type="dxa"/>
            <w:vAlign w:val="bottom"/>
            <w:gridSpan w:val="28"/>
          </w:tcPr>
          <w:p>
            <w:pPr>
              <w:ind w:left="58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7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720" w:type="dxa"/>
            <w:vAlign w:val="bottom"/>
            <w:tcBorders>
              <w:top w:val="single" w:sz="8" w:color="0000FF"/>
            </w:tcBorders>
            <w:gridSpan w:val="23"/>
          </w:tcPr>
          <w:p>
            <w:pPr>
              <w:spacing w:after="0" w:line="142" w:lineRule="exact"/>
              <w:rPr>
                <w:sz w:val="20"/>
                <w:szCs w:val="20"/>
                <w:color w:val="auto"/>
              </w:rPr>
            </w:pPr>
            <w:r>
              <w:rPr>
                <w:rFonts w:ascii="Times New Roman" w:cs="Times New Roman" w:eastAsia="Times New Roman" w:hAnsi="Times New Roman"/>
                <w:sz w:val="16"/>
                <w:szCs w:val="16"/>
                <w:color w:val="0000FF"/>
              </w:rPr>
              <w:t>OPERATIONS</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spacing w:after="0"/>
              <w:rPr>
                <w:sz w:val="13"/>
                <w:szCs w:val="13"/>
                <w:color w:val="auto"/>
              </w:rPr>
            </w:pPr>
          </w:p>
        </w:tc>
        <w:tc>
          <w:tcPr>
            <w:tcW w:w="72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 w:type="dxa"/>
            <w:vAlign w:val="bottom"/>
            <w:tcBorders>
              <w:right w:val="single" w:sz="8" w:color="CCEEFF"/>
            </w:tcBorders>
          </w:tcPr>
          <w:p>
            <w:pPr>
              <w:spacing w:after="0"/>
              <w:rPr>
                <w:sz w:val="17"/>
                <w:szCs w:val="17"/>
                <w:color w:val="auto"/>
              </w:rPr>
            </w:pPr>
          </w:p>
        </w:tc>
        <w:tc>
          <w:tcPr>
            <w:tcW w:w="1260" w:type="dxa"/>
            <w:vAlign w:val="bottom"/>
            <w:gridSpan w:val="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7A.</w:t>
            </w:r>
          </w:p>
        </w:tc>
        <w:tc>
          <w:tcPr>
            <w:tcW w:w="9180" w:type="dxa"/>
            <w:vAlign w:val="bottom"/>
            <w:gridSpan w:val="28"/>
            <w:shd w:val="clear" w:color="auto" w:fill="CCEEFF"/>
          </w:tcPr>
          <w:p>
            <w:pPr>
              <w:ind w:left="580"/>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20" w:type="dxa"/>
            <w:vAlign w:val="bottom"/>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95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6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8.</w:t>
            </w:r>
          </w:p>
        </w:tc>
        <w:tc>
          <w:tcPr>
            <w:tcW w:w="620" w:type="dxa"/>
            <w:vAlign w:val="bottom"/>
            <w:gridSpan w:val="2"/>
          </w:tcPr>
          <w:p>
            <w:pPr>
              <w:spacing w:after="0"/>
              <w:rPr>
                <w:sz w:val="16"/>
                <w:szCs w:val="16"/>
                <w:color w:val="auto"/>
              </w:rPr>
            </w:pPr>
          </w:p>
        </w:tc>
        <w:tc>
          <w:tcPr>
            <w:tcW w:w="9180" w:type="dxa"/>
            <w:vAlign w:val="bottom"/>
            <w:gridSpan w:val="28"/>
          </w:tcPr>
          <w:p>
            <w:pPr>
              <w:ind w:left="580"/>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Borders>
              <w:right w:val="single" w:sz="8" w:color="CCEEFF"/>
            </w:tcBorders>
          </w:tcPr>
          <w:p>
            <w:pPr>
              <w:spacing w:after="0"/>
              <w:rPr>
                <w:sz w:val="16"/>
                <w:szCs w:val="16"/>
                <w:color w:val="auto"/>
              </w:rPr>
            </w:pPr>
          </w:p>
        </w:tc>
        <w:tc>
          <w:tcPr>
            <w:tcW w:w="12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9.</w:t>
            </w:r>
          </w:p>
        </w:tc>
        <w:tc>
          <w:tcPr>
            <w:tcW w:w="9180" w:type="dxa"/>
            <w:vAlign w:val="bottom"/>
            <w:gridSpan w:val="28"/>
            <w:shd w:val="clear" w:color="auto" w:fill="CCEEFF"/>
          </w:tcPr>
          <w:p>
            <w:pPr>
              <w:ind w:left="580"/>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540" w:type="dxa"/>
            <w:vAlign w:val="bottom"/>
            <w:gridSpan w:val="2"/>
            <w:vMerge w:val="restart"/>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96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Borders>
              <w:right w:val="single" w:sz="8" w:color="CCEEFF"/>
            </w:tcBorders>
          </w:tcPr>
          <w:p>
            <w:pPr>
              <w:spacing w:after="0"/>
              <w:rPr>
                <w:sz w:val="16"/>
                <w:szCs w:val="16"/>
                <w:color w:val="auto"/>
              </w:rPr>
            </w:pPr>
          </w:p>
        </w:tc>
        <w:tc>
          <w:tcPr>
            <w:tcW w:w="5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0000FF"/>
              <w:bottom w:val="single" w:sz="8" w:color="0000FF"/>
            </w:tcBorders>
            <w:gridSpan w:val="5"/>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DISCLOSURE</w:t>
            </w:r>
          </w:p>
        </w:tc>
        <w:tc>
          <w:tcPr>
            <w:tcW w:w="6800" w:type="dxa"/>
            <w:vAlign w:val="bottom"/>
            <w:tcBorders>
              <w:top w:val="single" w:sz="8" w:color="0000FF"/>
              <w:bottom w:val="single" w:sz="8" w:color="CCEEFF"/>
            </w:tcBorders>
            <w:gridSpan w:val="19"/>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540" w:type="dxa"/>
            <w:vAlign w:val="bottom"/>
            <w:tcBorders>
              <w:top w:val="single" w:sz="8" w:color="CCEEFF"/>
              <w:bottom w:val="single" w:sz="8" w:color="CCEEFF"/>
            </w:tcBorders>
            <w:gridSpan w:val="2"/>
            <w:vMerge w:val="continue"/>
            <w:shd w:val="clear" w:color="auto" w:fill="CCEEFF"/>
          </w:tcPr>
          <w:p>
            <w:pPr>
              <w:spacing w:after="0"/>
              <w:rPr>
                <w:sz w:val="16"/>
                <w:szCs w:val="16"/>
                <w:color w:val="auto"/>
              </w:rPr>
            </w:pPr>
          </w:p>
        </w:tc>
        <w:tc>
          <w:tcPr>
            <w:tcW w:w="180" w:type="dxa"/>
            <w:vAlign w:val="bottom"/>
            <w:tcBorders>
              <w:top w:val="single" w:sz="8" w:color="CCEEFF"/>
              <w:bottom w:val="single" w:sz="8" w:color="0000FF"/>
            </w:tcBorders>
            <w:gridSpan w:val="2"/>
            <w:vMerge w:val="continue"/>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126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Item 9A.</w:t>
            </w:r>
          </w:p>
        </w:tc>
        <w:tc>
          <w:tcPr>
            <w:tcW w:w="9180" w:type="dxa"/>
            <w:vAlign w:val="bottom"/>
            <w:gridSpan w:val="28"/>
          </w:tcPr>
          <w:p>
            <w:pPr>
              <w:ind w:left="580"/>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72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Borders>
              <w:right w:val="single" w:sz="8" w:color="CCEEFF"/>
            </w:tcBorders>
          </w:tcPr>
          <w:p>
            <w:pPr>
              <w:spacing w:after="0"/>
              <w:rPr>
                <w:sz w:val="16"/>
                <w:szCs w:val="16"/>
                <w:color w:val="auto"/>
              </w:rPr>
            </w:pPr>
          </w:p>
        </w:tc>
        <w:tc>
          <w:tcPr>
            <w:tcW w:w="6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9B.</w:t>
            </w:r>
          </w:p>
        </w:tc>
        <w:tc>
          <w:tcPr>
            <w:tcW w:w="620" w:type="dxa"/>
            <w:vAlign w:val="bottom"/>
            <w:gridSpan w:val="2"/>
            <w:shd w:val="clear" w:color="auto" w:fill="CCEEFF"/>
          </w:tcPr>
          <w:p>
            <w:pPr>
              <w:spacing w:after="0"/>
              <w:rPr>
                <w:sz w:val="16"/>
                <w:szCs w:val="16"/>
                <w:color w:val="auto"/>
              </w:rPr>
            </w:pPr>
          </w:p>
        </w:tc>
        <w:tc>
          <w:tcPr>
            <w:tcW w:w="9180" w:type="dxa"/>
            <w:vAlign w:val="bottom"/>
            <w:gridSpan w:val="28"/>
            <w:shd w:val="clear" w:color="auto" w:fill="CCEEFF"/>
          </w:tcPr>
          <w:p>
            <w:pPr>
              <w:ind w:left="58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7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6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w w:val="98"/>
              </w:rPr>
              <w:t>Item 9C.</w:t>
            </w:r>
          </w:p>
        </w:tc>
        <w:tc>
          <w:tcPr>
            <w:tcW w:w="620" w:type="dxa"/>
            <w:vAlign w:val="bottom"/>
            <w:gridSpan w:val="2"/>
          </w:tcPr>
          <w:p>
            <w:pPr>
              <w:spacing w:after="0"/>
              <w:rPr>
                <w:sz w:val="16"/>
                <w:szCs w:val="16"/>
                <w:color w:val="auto"/>
              </w:rPr>
            </w:pPr>
          </w:p>
        </w:tc>
        <w:tc>
          <w:tcPr>
            <w:tcW w:w="9180" w:type="dxa"/>
            <w:vAlign w:val="bottom"/>
            <w:gridSpan w:val="28"/>
          </w:tcPr>
          <w:p>
            <w:pPr>
              <w:ind w:left="580"/>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660" w:type="dxa"/>
            <w:vAlign w:val="bottom"/>
            <w:tcBorders>
              <w:bottom w:val="single" w:sz="8" w:color="0000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3"/>
              </w:rPr>
              <w:t>PART III</w:t>
            </w:r>
          </w:p>
        </w:tc>
        <w:tc>
          <w:tcPr>
            <w:tcW w:w="6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98</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26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10.</w:t>
            </w:r>
          </w:p>
        </w:tc>
        <w:tc>
          <w:tcPr>
            <w:tcW w:w="9180" w:type="dxa"/>
            <w:vAlign w:val="bottom"/>
            <w:gridSpan w:val="28"/>
          </w:tcPr>
          <w:p>
            <w:pPr>
              <w:ind w:left="580"/>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Borders>
              <w:right w:val="single" w:sz="8" w:color="CCEEFF"/>
            </w:tcBorders>
          </w:tcPr>
          <w:p>
            <w:pPr>
              <w:spacing w:after="0"/>
              <w:rPr>
                <w:sz w:val="16"/>
                <w:szCs w:val="16"/>
                <w:color w:val="auto"/>
              </w:rPr>
            </w:pPr>
          </w:p>
        </w:tc>
        <w:tc>
          <w:tcPr>
            <w:tcW w:w="6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Item 11.</w:t>
            </w:r>
          </w:p>
        </w:tc>
        <w:tc>
          <w:tcPr>
            <w:tcW w:w="660" w:type="dxa"/>
            <w:vAlign w:val="bottom"/>
            <w:gridSpan w:val="3"/>
            <w:shd w:val="clear" w:color="auto" w:fill="CCEEFF"/>
          </w:tcPr>
          <w:p>
            <w:pPr>
              <w:spacing w:after="0"/>
              <w:rPr>
                <w:sz w:val="16"/>
                <w:szCs w:val="16"/>
                <w:color w:val="auto"/>
              </w:rPr>
            </w:pPr>
          </w:p>
        </w:tc>
        <w:tc>
          <w:tcPr>
            <w:tcW w:w="9180" w:type="dxa"/>
            <w:vAlign w:val="bottom"/>
            <w:gridSpan w:val="28"/>
            <w:shd w:val="clear" w:color="auto" w:fill="CCEEFF"/>
          </w:tcPr>
          <w:p>
            <w:pPr>
              <w:ind w:left="580"/>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7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98</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126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12.</w:t>
            </w:r>
          </w:p>
        </w:tc>
        <w:tc>
          <w:tcPr>
            <w:tcW w:w="9180" w:type="dxa"/>
            <w:vAlign w:val="bottom"/>
            <w:gridSpan w:val="28"/>
          </w:tcPr>
          <w:p>
            <w:pPr>
              <w:ind w:left="580"/>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7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960" w:type="dxa"/>
            <w:vAlign w:val="bottom"/>
            <w:tcBorders>
              <w:top w:val="single" w:sz="8" w:color="0000FF"/>
            </w:tcBorders>
            <w:gridSpan w:val="25"/>
          </w:tcPr>
          <w:p>
            <w:pPr>
              <w:spacing w:after="0" w:line="142" w:lineRule="exact"/>
              <w:rPr>
                <w:sz w:val="20"/>
                <w:szCs w:val="20"/>
                <w:color w:val="auto"/>
              </w:rPr>
            </w:pPr>
            <w:r>
              <w:rPr>
                <w:rFonts w:ascii="Times New Roman" w:cs="Times New Roman" w:eastAsia="Times New Roman" w:hAnsi="Times New Roman"/>
                <w:sz w:val="16"/>
                <w:szCs w:val="16"/>
                <w:color w:val="0000FF"/>
              </w:rPr>
              <w:t>STOCKHOLDER MATTERS</w:t>
            </w:r>
          </w:p>
        </w:tc>
        <w:tc>
          <w:tcPr>
            <w:tcW w:w="640" w:type="dxa"/>
            <w:vAlign w:val="bottom"/>
            <w:gridSpan w:val="2"/>
          </w:tcPr>
          <w:p>
            <w:pPr>
              <w:spacing w:after="0"/>
              <w:rPr>
                <w:sz w:val="13"/>
                <w:szCs w:val="13"/>
                <w:color w:val="auto"/>
              </w:rPr>
            </w:pPr>
          </w:p>
        </w:tc>
        <w:tc>
          <w:tcPr>
            <w:tcW w:w="72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 w:type="dxa"/>
            <w:vAlign w:val="bottom"/>
            <w:tcBorders>
              <w:right w:val="single" w:sz="8" w:color="CCEEFF"/>
            </w:tcBorders>
          </w:tcPr>
          <w:p>
            <w:pPr>
              <w:spacing w:after="0"/>
              <w:rPr>
                <w:sz w:val="17"/>
                <w:szCs w:val="17"/>
                <w:color w:val="auto"/>
              </w:rPr>
            </w:pPr>
          </w:p>
        </w:tc>
        <w:tc>
          <w:tcPr>
            <w:tcW w:w="1260" w:type="dxa"/>
            <w:vAlign w:val="bottom"/>
            <w:gridSpan w:val="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13.</w:t>
            </w:r>
          </w:p>
        </w:tc>
        <w:tc>
          <w:tcPr>
            <w:tcW w:w="9180" w:type="dxa"/>
            <w:vAlign w:val="bottom"/>
            <w:gridSpan w:val="28"/>
            <w:shd w:val="clear" w:color="auto" w:fill="CCEEFF"/>
          </w:tcPr>
          <w:p>
            <w:pPr>
              <w:ind w:left="580"/>
              <w:spacing w:after="0" w:line="202"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20" w:type="dxa"/>
            <w:vAlign w:val="bottom"/>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98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126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14.</w:t>
            </w:r>
          </w:p>
        </w:tc>
        <w:tc>
          <w:tcPr>
            <w:tcW w:w="9180" w:type="dxa"/>
            <w:vAlign w:val="bottom"/>
            <w:gridSpan w:val="28"/>
          </w:tcPr>
          <w:p>
            <w:pPr>
              <w:ind w:left="580"/>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7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2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IV</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660" w:type="dxa"/>
            <w:vAlign w:val="bottom"/>
            <w:tcBorders>
              <w:top w:val="single" w:sz="8" w:color="0000FF"/>
            </w:tcBorders>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Item 15.</w:t>
            </w:r>
          </w:p>
        </w:tc>
        <w:tc>
          <w:tcPr>
            <w:tcW w:w="600" w:type="dxa"/>
            <w:vAlign w:val="bottom"/>
            <w:tcBorders>
              <w:top w:val="single" w:sz="8" w:color="CCEEFF"/>
            </w:tcBorders>
          </w:tcPr>
          <w:p>
            <w:pPr>
              <w:spacing w:after="0"/>
              <w:rPr>
                <w:sz w:val="16"/>
                <w:szCs w:val="16"/>
                <w:color w:val="auto"/>
              </w:rPr>
            </w:pPr>
          </w:p>
        </w:tc>
        <w:tc>
          <w:tcPr>
            <w:tcW w:w="9180" w:type="dxa"/>
            <w:vAlign w:val="bottom"/>
            <w:tcBorders>
              <w:top w:val="single" w:sz="8" w:color="CCEEFF"/>
            </w:tcBorders>
            <w:gridSpan w:val="28"/>
          </w:tcPr>
          <w:p>
            <w:pPr>
              <w:ind w:left="580"/>
              <w:spacing w:after="0" w:line="189" w:lineRule="exact"/>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54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98</w:t>
            </w: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 w:type="dxa"/>
            <w:vAlign w:val="bottom"/>
            <w:tcBorders>
              <w:right w:val="single" w:sz="8" w:color="CCEEFF"/>
            </w:tcBorders>
          </w:tcPr>
          <w:p>
            <w:pPr>
              <w:spacing w:after="0"/>
              <w:rPr>
                <w:sz w:val="18"/>
                <w:szCs w:val="18"/>
                <w:color w:val="auto"/>
              </w:rPr>
            </w:pPr>
          </w:p>
        </w:tc>
        <w:tc>
          <w:tcPr>
            <w:tcW w:w="12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16.</w:t>
            </w:r>
          </w:p>
        </w:tc>
        <w:tc>
          <w:tcPr>
            <w:tcW w:w="9180" w:type="dxa"/>
            <w:vAlign w:val="bottom"/>
            <w:gridSpan w:val="28"/>
            <w:shd w:val="clear" w:color="auto" w:fill="CCEEFF"/>
          </w:tcPr>
          <w:p>
            <w:pPr>
              <w:ind w:left="580"/>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74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860"/>
        </w:trPr>
        <w:tc>
          <w:tcPr>
            <w:tcW w:w="6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1880" w:type="dxa"/>
            <w:vAlign w:val="bottom"/>
            <w:tcBorders>
              <w:top w:val="single" w:sz="8" w:color="0000FF"/>
            </w:tcBorders>
            <w:gridSpan w:val="9"/>
          </w:tcPr>
          <w:p>
            <w:pPr>
              <w:spacing w:after="0"/>
              <w:rPr>
                <w:sz w:val="24"/>
                <w:szCs w:val="24"/>
                <w:color w:val="auto"/>
              </w:rPr>
            </w:pPr>
          </w:p>
        </w:tc>
        <w:tc>
          <w:tcPr>
            <w:tcW w:w="2060" w:type="dxa"/>
            <w:vAlign w:val="bottom"/>
            <w:tcBorders>
              <w:top w:val="single" w:sz="8" w:color="CCEEFF"/>
            </w:tcBorders>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60" w:firstLine="323"/>
        <w:spacing w:after="0" w:line="282" w:lineRule="auto"/>
        <w:rPr>
          <w:sz w:val="20"/>
          <w:szCs w:val="20"/>
          <w:color w:val="auto"/>
        </w:rPr>
      </w:pPr>
      <w:r>
        <w:rPr>
          <w:rFonts w:ascii="Times New Roman" w:cs="Times New Roman" w:eastAsia="Times New Roman" w:hAnsi="Times New Roman"/>
          <w:sz w:val="18"/>
          <w:szCs w:val="18"/>
          <w:i w:val="1"/>
          <w:iCs w:val="1"/>
          <w:color w:val="auto"/>
        </w:rPr>
        <w:t>Unless the context indicates or suggests otherwise, references in this Annual Report on Form 10-K to “the Company,” “we,” “us” and “our” refer to James River Group Holdings, Ltd. and its consolidated subsidiaries.</w:t>
      </w:r>
    </w:p>
    <w:p>
      <w:pPr>
        <w:spacing w:after="0" w:line="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19" w:lineRule="exact"/>
        <w:rPr>
          <w:sz w:val="20"/>
          <w:szCs w:val="20"/>
          <w:color w:val="auto"/>
        </w:rPr>
      </w:pPr>
    </w:p>
    <w:p>
      <w:pPr>
        <w:ind w:right="120" w:firstLine="323"/>
        <w:spacing w:after="0" w:line="253"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Annual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and financial strength ratings,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82" w:lineRule="exact"/>
        <w:rPr>
          <w:sz w:val="20"/>
          <w:szCs w:val="20"/>
          <w:color w:val="auto"/>
        </w:rPr>
      </w:pPr>
    </w:p>
    <w:p>
      <w:pPr>
        <w:ind w:right="400" w:firstLine="323"/>
        <w:spacing w:after="0" w:line="280" w:lineRule="auto"/>
        <w:rPr>
          <w:sz w:val="20"/>
          <w:szCs w:val="20"/>
          <w:color w:val="auto"/>
        </w:rPr>
      </w:pPr>
      <w:r>
        <w:rPr>
          <w:rFonts w:ascii="Times New Roman" w:cs="Times New Roman" w:eastAsia="Times New Roman" w:hAnsi="Times New Roman"/>
          <w:sz w:val="18"/>
          <w:szCs w:val="18"/>
          <w:color w:val="auto"/>
        </w:rPr>
        <w:t>Our actual results may differ materially from those expressed in, or implied by, the forward-looking statements included in this Annual Report as a result of various factors, many of which are beyond our control, including, among others:</w:t>
      </w:r>
    </w:p>
    <w:p>
      <w:pPr>
        <w:spacing w:after="0" w:line="55" w:lineRule="exact"/>
        <w:rPr>
          <w:sz w:val="20"/>
          <w:szCs w:val="20"/>
          <w:color w:val="auto"/>
        </w:rPr>
      </w:pPr>
    </w:p>
    <w:p>
      <w:pPr>
        <w:ind w:left="660" w:right="420" w:hanging="330"/>
        <w:spacing w:after="0" w:line="280" w:lineRule="auto"/>
        <w:tabs>
          <w:tab w:leader="none" w:pos="5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uncertainty of estimating reserves and the possibility that incurred losses may be greater than our loss and loss adjustment expense reserves;</w:t>
      </w:r>
    </w:p>
    <w:p>
      <w:pPr>
        <w:spacing w:after="0" w:line="54"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and judgments in our risk management may expose us to greater risks than intended;</w:t>
      </w:r>
    </w:p>
    <w:p>
      <w:pPr>
        <w:spacing w:after="0" w:line="115" w:lineRule="exact"/>
        <w:rPr>
          <w:rFonts w:ascii="Times New Roman" w:cs="Times New Roman" w:eastAsia="Times New Roman" w:hAnsi="Times New Roman"/>
          <w:sz w:val="18"/>
          <w:szCs w:val="18"/>
          <w:color w:val="auto"/>
        </w:rPr>
      </w:pPr>
    </w:p>
    <w:p>
      <w:pPr>
        <w:ind w:left="660" w:right="300" w:hanging="330"/>
        <w:spacing w:after="0" w:line="280" w:lineRule="auto"/>
        <w:tabs>
          <w:tab w:leader="none" w:pos="5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downgrades in the financial strength rating or outlook of our regulated insurance subsidiaries impacting our ability to attract and retain insurance business that our subsidiaries write, our competitive position, and our financial condition;</w:t>
      </w:r>
    </w:p>
    <w:p>
      <w:pPr>
        <w:spacing w:after="0" w:line="54" w:lineRule="exact"/>
        <w:rPr>
          <w:rFonts w:ascii="Times New Roman" w:cs="Times New Roman" w:eastAsia="Times New Roman" w:hAnsi="Times New Roman"/>
          <w:sz w:val="18"/>
          <w:szCs w:val="18"/>
          <w:color w:val="auto"/>
        </w:rPr>
      </w:pPr>
    </w:p>
    <w:p>
      <w:pPr>
        <w:ind w:left="660" w:right="200" w:hanging="330"/>
        <w:spacing w:after="0" w:line="280" w:lineRule="auto"/>
        <w:tabs>
          <w:tab w:leader="none" w:pos="5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final post-closing adjustment to the purchase price received in connection with the sale of our casualty reinsurance business and the outcome of the litigation relating to such transaction;</w:t>
      </w:r>
    </w:p>
    <w:p>
      <w:pPr>
        <w:spacing w:after="0" w:line="54"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members of our management team or key employees, and our ability to attract and retain personnel;</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factors resulting in the sale of fewer policies than expected or an increase in the frequency or severity of claims, or both;</w:t>
      </w:r>
    </w:p>
    <w:p>
      <w:pPr>
        <w:spacing w:after="0" w:line="115" w:lineRule="exact"/>
        <w:rPr>
          <w:rFonts w:ascii="Times New Roman" w:cs="Times New Roman" w:eastAsia="Times New Roman" w:hAnsi="Times New Roman"/>
          <w:sz w:val="18"/>
          <w:szCs w:val="18"/>
          <w:color w:val="auto"/>
        </w:rPr>
      </w:pPr>
    </w:p>
    <w:p>
      <w:pPr>
        <w:ind w:left="660" w:right="720" w:hanging="330"/>
        <w:spacing w:after="0" w:line="280" w:lineRule="auto"/>
        <w:tabs>
          <w:tab w:leader="none" w:pos="5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higher than expected inflationary environment on our reserves, loss adjustment expenses, the values of our investments and investment returns, and our compensation expenses;</w:t>
      </w:r>
    </w:p>
    <w:p>
      <w:pPr>
        <w:spacing w:after="0" w:line="54"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credit risk, interest rate risk and other market risk in our investment portfolio;</w:t>
      </w:r>
    </w:p>
    <w:p>
      <w:pPr>
        <w:spacing w:after="0" w:line="115" w:lineRule="exact"/>
        <w:rPr>
          <w:rFonts w:ascii="Times New Roman" w:cs="Times New Roman" w:eastAsia="Times New Roman" w:hAnsi="Times New Roman"/>
          <w:sz w:val="18"/>
          <w:szCs w:val="18"/>
          <w:color w:val="auto"/>
        </w:rPr>
      </w:pPr>
    </w:p>
    <w:p>
      <w:pPr>
        <w:ind w:left="660" w:right="400" w:hanging="330"/>
        <w:spacing w:after="0" w:line="280" w:lineRule="auto"/>
        <w:tabs>
          <w:tab w:leader="none" w:pos="5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select group of brokers and agents for a significant portion of our business and the impact of our potential failure to maintain such relationships;</w:t>
      </w:r>
    </w:p>
    <w:p>
      <w:pPr>
        <w:spacing w:after="0" w:line="54" w:lineRule="exact"/>
        <w:rPr>
          <w:rFonts w:ascii="Times New Roman" w:cs="Times New Roman" w:eastAsia="Times New Roman" w:hAnsi="Times New Roman"/>
          <w:sz w:val="18"/>
          <w:szCs w:val="18"/>
          <w:color w:val="auto"/>
        </w:rPr>
      </w:pPr>
    </w:p>
    <w:p>
      <w:pPr>
        <w:ind w:left="660" w:right="320" w:hanging="330"/>
        <w:spacing w:after="0" w:line="280" w:lineRule="auto"/>
        <w:tabs>
          <w:tab w:leader="none" w:pos="5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select group of customers for a significant portion of our business and the impact of our potential failure to maintain, or decision to terminate, such relationships;</w:t>
      </w:r>
    </w:p>
    <w:p>
      <w:pPr>
        <w:spacing w:after="0" w:line="54" w:lineRule="exact"/>
        <w:rPr>
          <w:rFonts w:ascii="Times New Roman" w:cs="Times New Roman" w:eastAsia="Times New Roman" w:hAnsi="Times New Roman"/>
          <w:sz w:val="18"/>
          <w:szCs w:val="18"/>
          <w:color w:val="auto"/>
        </w:rPr>
      </w:pPr>
    </w:p>
    <w:p>
      <w:pPr>
        <w:ind w:left="660" w:hanging="330"/>
        <w:spacing w:after="0" w:line="280" w:lineRule="auto"/>
        <w:tabs>
          <w:tab w:leader="none" w:pos="5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insurance and reinsurance coverage at prices and on terms that allow us to transfer risk, adequately protect our Company against financial loss and that supports our growth plans;</w:t>
      </w:r>
    </w:p>
    <w:p>
      <w:pPr>
        <w:spacing w:after="0" w:line="54" w:lineRule="exact"/>
        <w:rPr>
          <w:rFonts w:ascii="Times New Roman" w:cs="Times New Roman" w:eastAsia="Times New Roman" w:hAnsi="Times New Roman"/>
          <w:sz w:val="18"/>
          <w:szCs w:val="18"/>
          <w:color w:val="auto"/>
        </w:rPr>
      </w:pPr>
    </w:p>
    <w:p>
      <w:pPr>
        <w:ind w:left="660" w:right="620" w:hanging="330"/>
        <w:spacing w:after="0" w:line="264" w:lineRule="auto"/>
        <w:tabs>
          <w:tab w:leader="none" w:pos="5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resulting from reinsurance counterparties failing to pay us on reinsurance claims, insurance companies with whom we have a fronting arrangement failing to pay us for claims, or a former customer with whom we have an indemnification arrangement failing to perform its reimbursement obligations, and our potential inability to demand or maintain adequate collateral to mitigate such risks;</w:t>
      </w:r>
    </w:p>
    <w:p>
      <w:pPr>
        <w:spacing w:after="0" w:line="69"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of premiums we charge to compensate us for our losses incurred;</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government regulation, including tax or insurance law and regulations;</w:t>
      </w:r>
    </w:p>
    <w:p>
      <w:pPr>
        <w:spacing w:after="0" w:line="115" w:lineRule="exact"/>
        <w:rPr>
          <w:rFonts w:ascii="Times New Roman" w:cs="Times New Roman" w:eastAsia="Times New Roman" w:hAnsi="Times New Roman"/>
          <w:sz w:val="18"/>
          <w:szCs w:val="18"/>
          <w:color w:val="auto"/>
        </w:rPr>
      </w:pPr>
    </w:p>
    <w:p>
      <w:pPr>
        <w:ind w:left="660" w:right="20" w:hanging="330"/>
        <w:spacing w:after="0" w:line="264" w:lineRule="auto"/>
        <w:tabs>
          <w:tab w:leader="none" w:pos="5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tax laws (including associated regulations) and the interpretation of certain provisions applicable to insurance/reinsurance businesses with U.S. and non-U.S. operations, which may be retroactive and could have a significant effect on us including, among other things, by potentially increasing our tax rate, as well as on our shareholders;</w:t>
      </w:r>
    </w:p>
    <w:p>
      <w:pPr>
        <w:spacing w:after="0" w:line="69" w:lineRule="exact"/>
        <w:rPr>
          <w:rFonts w:ascii="Times New Roman" w:cs="Times New Roman" w:eastAsia="Times New Roman" w:hAnsi="Times New Roman"/>
          <w:sz w:val="18"/>
          <w:szCs w:val="18"/>
          <w:color w:val="auto"/>
        </w:rPr>
      </w:pPr>
    </w:p>
    <w:p>
      <w:pPr>
        <w:ind w:left="660" w:right="200" w:hanging="330"/>
        <w:spacing w:after="0" w:line="280" w:lineRule="auto"/>
        <w:tabs>
          <w:tab w:leader="none" w:pos="5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we did not qualify for the insurance company exception to the passive foreign investment company (“PFIC”) rules and were therefore considered a PFIC, there could be material adverse tax consequences to an investor that is subject to U.S. federal income taxation;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80" w:hanging="250"/>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its foreign subsidiary becoming subject to U.S. federal income taxation;</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failure of any of the loss limitations or exclusions we utilize to shield us from unanticipated financial losses or legal exposures, or other liabilities;</w:t>
      </w:r>
    </w:p>
    <w:p>
      <w:pPr>
        <w:spacing w:after="0" w:line="126" w:lineRule="exact"/>
        <w:rPr>
          <w:rFonts w:ascii="Times New Roman" w:cs="Times New Roman" w:eastAsia="Times New Roman" w:hAnsi="Times New Roman"/>
          <w:sz w:val="17"/>
          <w:szCs w:val="17"/>
          <w:color w:val="auto"/>
        </w:rPr>
      </w:pPr>
    </w:p>
    <w:p>
      <w:pPr>
        <w:ind w:left="660" w:hanging="330"/>
        <w:spacing w:after="0" w:line="280" w:lineRule="auto"/>
        <w:tabs>
          <w:tab w:leader="none" w:pos="5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from catastrophic events, such as natural disasters and terrorist acts, which substantially exceed our expectations and/or exceed the amount of reinsurance we have purchased to protect us from such events;</w:t>
      </w:r>
    </w:p>
    <w:p>
      <w:pPr>
        <w:spacing w:after="0" w:line="54"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on our business of emerging claim and coverage issues;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internal or external fraud, operational errors, systems malfunctions or cyber security incidents;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internal controls in accordance with the Sarbanes-Oxley Act of 2002, as amended;</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condition, regulations or other factors that may restrict our subsidiaries’ ability to pay us dividends;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result in any litigation or legal proceedings we are or may become subject to; and</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discussed under “Risk Factors” and elsewhere in this Annual Report.</w:t>
      </w:r>
    </w:p>
    <w:p>
      <w:pPr>
        <w:spacing w:after="0" w:line="115" w:lineRule="exact"/>
        <w:rPr>
          <w:sz w:val="20"/>
          <w:szCs w:val="20"/>
          <w:color w:val="auto"/>
        </w:rPr>
      </w:pPr>
    </w:p>
    <w:p>
      <w:pPr>
        <w:ind w:right="60" w:firstLine="323"/>
        <w:spacing w:after="0" w:line="280" w:lineRule="auto"/>
        <w:rPr>
          <w:sz w:val="20"/>
          <w:szCs w:val="20"/>
          <w:color w:val="auto"/>
        </w:rPr>
      </w:pPr>
      <w:r>
        <w:rPr>
          <w:rFonts w:ascii="Times New Roman" w:cs="Times New Roman" w:eastAsia="Times New Roman" w:hAnsi="Times New Roman"/>
          <w:sz w:val="18"/>
          <w:szCs w:val="18"/>
          <w:color w:val="auto"/>
        </w:rPr>
        <w:t>Accordingly, you should read this Annual Report completely and with the understanding that our actual future results may be materially different from information contained in the forward-looking statements.</w:t>
      </w:r>
    </w:p>
    <w:p>
      <w:pPr>
        <w:spacing w:after="0" w:line="55"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Additional information about these risks and uncertainties, as well as others that may cause actual results to differ materially from those in the forward-looking statements, is contained in Part I, Item 1A "Risk Factors" in this Annual Report, and our filings with the U.S. Securities and Exchange Commission (“SEC”).</w:t>
      </w:r>
    </w:p>
    <w:p>
      <w:pPr>
        <w:spacing w:after="0" w:line="69" w:lineRule="exact"/>
        <w:rPr>
          <w:sz w:val="20"/>
          <w:szCs w:val="20"/>
          <w:color w:val="auto"/>
        </w:rPr>
      </w:pPr>
    </w:p>
    <w:p>
      <w:pPr>
        <w:ind w:firstLine="323"/>
        <w:spacing w:after="0" w:line="256"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Annual Report. Except as expressly required under federal securities laws and the rules and regulations of the SEC, we do not have any obligation, and do not undertake, to update any forward-looking statements to reflect events or circumstances arising after the date of this Annual Report, whether as a result of new information or future events or otherwise. You should not place undue reliance on the forward-looking statements included in this Annual Report or that may be made elsewhere from time to time by us, or on our behalf. All forward-looking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9" w:lineRule="exact"/>
        <w:rPr>
          <w:sz w:val="20"/>
          <w:szCs w:val="20"/>
          <w:color w:val="auto"/>
        </w:rPr>
      </w:pPr>
    </w:p>
    <w:p>
      <w:pPr>
        <w:ind w:right="120" w:firstLine="323"/>
        <w:spacing w:after="0" w:line="271" w:lineRule="auto"/>
        <w:rPr>
          <w:sz w:val="20"/>
          <w:szCs w:val="20"/>
          <w:color w:val="auto"/>
        </w:rPr>
      </w:pPr>
      <w:r>
        <w:rPr>
          <w:rFonts w:ascii="Times New Roman" w:cs="Times New Roman" w:eastAsia="Times New Roman" w:hAnsi="Times New Roman"/>
          <w:sz w:val="17"/>
          <w:szCs w:val="17"/>
          <w:color w:val="auto"/>
        </w:rPr>
        <w:t>James River Group Holdings, Ltd. is a Bermuda-based holding company. We own and operate a group of specialty insurance companies focused on underwriting small and middle market casualty risks within the U.S. excess and surplus (“E&amp;S”) lines market. For the year ended December 31, 2024, approximately 76.2% of our gross written premiums and 88.7% of our net written premiums from continuing operations originated from the E&amp;S lines market, which we believe puts us among the top three publicly traded insurers as ranked by highest concentrations of E&amp;S risk. Substantially all of our business is casualty insurance, and for the year ended December 31, 2024, 96.3% of our gross written premiums from continuing operations were derived from casualty insurance. Our objective is to generate compelling returns on tangible equity, while limiting underwriting and investment volatility. We seek to accomplish this by earning profits from insurance underwriting and generating meaningful risk-adjusted investment returns, while managing our capital.</w:t>
      </w:r>
    </w:p>
    <w:p>
      <w:pPr>
        <w:spacing w:after="0" w:line="67" w:lineRule="exact"/>
        <w:rPr>
          <w:sz w:val="20"/>
          <w:szCs w:val="20"/>
          <w:color w:val="auto"/>
        </w:rPr>
      </w:pPr>
    </w:p>
    <w:p>
      <w:pPr>
        <w:ind w:right="20" w:firstLine="323"/>
        <w:spacing w:after="0" w:line="255" w:lineRule="auto"/>
        <w:rPr>
          <w:sz w:val="20"/>
          <w:szCs w:val="20"/>
          <w:color w:val="auto"/>
        </w:rPr>
      </w:pPr>
      <w:r>
        <w:rPr>
          <w:rFonts w:ascii="Times New Roman" w:cs="Times New Roman" w:eastAsia="Times New Roman" w:hAnsi="Times New Roman"/>
          <w:sz w:val="18"/>
          <w:szCs w:val="18"/>
          <w:color w:val="auto"/>
        </w:rPr>
        <w:t>We write very little property or catastrophe insurance and no property catastrophe reinsurance. For the year ended December 31, 2024, property insurance represented 3.7% of our gross written premiums from continuing operations. When we do write property insurance, we buy reinsurance to significantly mitigate our risk. We have structured our reinsurance arrangements so that our modeled net pre-tax loss from a 1/1000 year probable maximum loss ("PML") event would not exceed 2.5% of shareholders’ equity on a group-wide basis, inclusive of reinstatement premiums payable and net retentions. We have little exposure to and do not expect to be materially impacted by recent disasters including the wildfires in California or hurricanes Helene and Milton.</w:t>
      </w:r>
    </w:p>
    <w:p>
      <w:pPr>
        <w:spacing w:after="0" w:line="78" w:lineRule="exact"/>
        <w:rPr>
          <w:sz w:val="20"/>
          <w:szCs w:val="20"/>
          <w:color w:val="auto"/>
        </w:rPr>
      </w:pPr>
    </w:p>
    <w:p>
      <w:pPr>
        <w:ind w:firstLine="323"/>
        <w:spacing w:after="0" w:line="255" w:lineRule="auto"/>
        <w:rPr>
          <w:sz w:val="20"/>
          <w:szCs w:val="20"/>
          <w:color w:val="auto"/>
        </w:rPr>
      </w:pPr>
      <w:r>
        <w:rPr>
          <w:rFonts w:ascii="Times New Roman" w:cs="Times New Roman" w:eastAsia="Times New Roman" w:hAnsi="Times New Roman"/>
          <w:sz w:val="18"/>
          <w:szCs w:val="18"/>
          <w:color w:val="auto"/>
        </w:rPr>
        <w:t>During 2024, we completed several strategic actions including closing the sale of JRG Reinsurance Company Ltd. (“JRG Re”) to focus our business around our U.S. insurance businesses, entering a $160.0 million combined loss portfolio transfer and adverse development cover for our Excess and Surplus Lines business, and initiating a new strategic partnership with Enstar Group Limited (“Enstar”) which, in part, entailed a $12.5 million equity investment in the Company and an additional $75.0 million adverse development cover for the Excess and Surplus Lines business. We believe these actions strengthen our balance sheet and position us to generate attractive returns in the future. Following the sale of JRG Re, our continuing operations are comprised of two operating segments, Excess and Surplus Lines and Specialty Admitted Insurance, and a third segment, Corporate and Other.</w:t>
      </w:r>
    </w:p>
    <w:p>
      <w:pPr>
        <w:spacing w:after="0" w:line="78" w:lineRule="exact"/>
        <w:rPr>
          <w:sz w:val="20"/>
          <w:szCs w:val="20"/>
          <w:color w:val="auto"/>
        </w:rPr>
      </w:pPr>
    </w:p>
    <w:p>
      <w:pPr>
        <w:ind w:firstLine="323"/>
        <w:spacing w:after="0" w:line="252" w:lineRule="auto"/>
        <w:rPr>
          <w:sz w:val="20"/>
          <w:szCs w:val="20"/>
          <w:color w:val="auto"/>
        </w:rPr>
      </w:pPr>
      <w:r>
        <w:rPr>
          <w:rFonts w:ascii="Times New Roman" w:cs="Times New Roman" w:eastAsia="Times New Roman" w:hAnsi="Times New Roman"/>
          <w:sz w:val="18"/>
          <w:szCs w:val="18"/>
          <w:color w:val="auto"/>
        </w:rPr>
        <w:t>The Excess and Surplus Lines segment sells E&amp;S commercial lines liability and property insurance in every U.S. state and the District of Columbia through James River Insurance Company (“James River Insurance”) and its wholly-owned subsidiary, James River Casualty Company (“James River Casualty”). The Excess and Surplus Lines segment produced 71.0% of our gross written premiums and 87.5% of our net written premiums from continuing operations for the year ended December 31, 2024. James River Insurance and James River Casualty are both non-admitted carriers. Non-admitted carriers writing in the E&amp;S market are not bound by most of the rate and form regulations imposed on standard market companies, allowing them flexibility to change the coverage terms offered and the rate charged without the time constraints and financial costs and delays associated with the filing of such changes with state regulators and seeking approval for the filings. In 2024, the average account in this segment (excluding commercial auto policies) generated annual gross written premiums of approximately $26,800. The Excess and Surplus Lines segment distributes primarily through wholesale insurance brokers. Members of our management team have participated in this market for over three decades and have long-standing relationships with the wholesale brokers who place E&amp;S lines accounts.</w:t>
      </w:r>
    </w:p>
    <w:p>
      <w:pPr>
        <w:spacing w:after="0" w:line="84" w:lineRule="exact"/>
        <w:rPr>
          <w:sz w:val="20"/>
          <w:szCs w:val="20"/>
          <w:color w:val="auto"/>
        </w:rPr>
      </w:pPr>
    </w:p>
    <w:p>
      <w:pPr>
        <w:ind w:right="20" w:firstLine="323"/>
        <w:spacing w:after="0" w:line="252" w:lineRule="auto"/>
        <w:rPr>
          <w:sz w:val="20"/>
          <w:szCs w:val="20"/>
          <w:color w:val="auto"/>
        </w:rPr>
      </w:pPr>
      <w:r>
        <w:rPr>
          <w:rFonts w:ascii="Times New Roman" w:cs="Times New Roman" w:eastAsia="Times New Roman" w:hAnsi="Times New Roman"/>
          <w:sz w:val="18"/>
          <w:szCs w:val="18"/>
          <w:color w:val="auto"/>
        </w:rPr>
        <w:t>The Specialty Admitted Insurance segment has admitted licenses and the authority to write excess and surplus lines insurance in 50 states and the District of Columbia through Falls Lake National Insurance Company (“Falls Lake National”) and its wholly-owned subsidiaries, Stonewood Insurance Company (“Stonewood Insurance”) and Falls Lake Fire and Casualty Company (“Falls Lake Fire and Casualty”). The Specialty Admitted Insurance segment produced 29.0% of our gross written premiums and 12.5% of our net written premiums from continuing operations for the year ended December 31, 2024. The Specialty Admitted Insurance segment primarily writes fronting business where we retain a minority share of the risk, generally 10%-35%, and seek to earn fee income. When we front, we use our legal authority, financial strength rating, underwriting experience and claims infrastructure to write insurance to service clients (usually managing general agents and reinsurers) who assume the vast majority of the risk on each fronted policy. Because we retain little premium or risk in our fronted business, we can allocate less capital per dollar of revenue to fronted policies than to policies where we retain more risk, which we believe enhances our returns on equity. The Specialty Admitted Insurance segment accepts applications for insurance from a variety of sources, including fronting and program administrators and managing general agents (“MGAs”).</w:t>
      </w:r>
    </w:p>
    <w:p>
      <w:pPr>
        <w:spacing w:after="0" w:line="84" w:lineRule="exact"/>
        <w:rPr>
          <w:sz w:val="20"/>
          <w:szCs w:val="20"/>
          <w:color w:val="auto"/>
        </w:rPr>
      </w:pPr>
    </w:p>
    <w:p>
      <w:pPr>
        <w:ind w:right="40" w:firstLine="323"/>
        <w:spacing w:after="0" w:line="280" w:lineRule="auto"/>
        <w:rPr>
          <w:sz w:val="20"/>
          <w:szCs w:val="20"/>
          <w:color w:val="auto"/>
        </w:rPr>
      </w:pPr>
      <w:r>
        <w:rPr>
          <w:rFonts w:ascii="Times New Roman" w:cs="Times New Roman" w:eastAsia="Times New Roman" w:hAnsi="Times New Roman"/>
          <w:sz w:val="18"/>
          <w:szCs w:val="18"/>
          <w:color w:val="auto"/>
        </w:rPr>
        <w:t>The Corporate and Other segment consists of the management and treasury activities of our holding companies, equity compensation for the group, and interest expense associated with our debt.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firstLine="323"/>
        <w:spacing w:after="0" w:line="264" w:lineRule="auto"/>
        <w:rPr>
          <w:sz w:val="20"/>
          <w:szCs w:val="20"/>
          <w:color w:val="auto"/>
        </w:rPr>
      </w:pPr>
      <w:r>
        <w:rPr>
          <w:rFonts w:ascii="Times New Roman" w:cs="Times New Roman" w:eastAsia="Times New Roman" w:hAnsi="Times New Roman"/>
          <w:sz w:val="18"/>
          <w:szCs w:val="18"/>
          <w:color w:val="auto"/>
        </w:rPr>
        <w:t>Our discontinued operations include JRG Re, which comprised the remaining operations of the former Casualty Reinsurance segment, and which, prior to the suspension of its underwriting activities in 2023, provided proportional and working layer casualty reinsurance to third parties. The sale of JRG Re, which closed on April 16, 2024, resulted in the Company’s disposition of its casualty reinsurance business and related assets.</w:t>
      </w:r>
    </w:p>
    <w:p>
      <w:pPr>
        <w:spacing w:after="0" w:line="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2024, we wrote $1,431.8 million of gross written premiums from continuing operations, allocated by segment and underlying market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Written</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Premiums</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8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Written Premiums by Segment</w:t>
            </w: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58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88"/>
        </w:trPr>
        <w:tc>
          <w:tcPr>
            <w:tcW w:w="8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Excess and Surplus Lines segment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1,017,029</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0" w:type="dxa"/>
            <w:vAlign w:val="bottom"/>
          </w:tcPr>
          <w:p>
            <w:pPr>
              <w:spacing w:after="0"/>
              <w:rPr>
                <w:sz w:val="1"/>
                <w:szCs w:val="1"/>
                <w:color w:val="auto"/>
              </w:rPr>
            </w:pPr>
          </w:p>
        </w:tc>
      </w:tr>
      <w:tr>
        <w:trPr>
          <w:trHeight w:val="228"/>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Specialty Admitted Insurance segment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414,743</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0" w:type="dxa"/>
            <w:vAlign w:val="bottom"/>
          </w:tcPr>
          <w:p>
            <w:pPr>
              <w:spacing w:after="0"/>
              <w:rPr>
                <w:sz w:val="1"/>
                <w:szCs w:val="1"/>
                <w:color w:val="auto"/>
              </w:rPr>
            </w:pPr>
          </w:p>
        </w:tc>
      </w:tr>
      <w:tr>
        <w:trPr>
          <w:trHeight w:val="222"/>
        </w:trPr>
        <w:tc>
          <w:tcPr>
            <w:tcW w:w="8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1,431,772</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Written Premiums by Market</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Non-admitted markets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1,090,518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0" w:type="dxa"/>
            <w:vAlign w:val="bottom"/>
          </w:tcPr>
          <w:p>
            <w:pPr>
              <w:spacing w:after="0"/>
              <w:rPr>
                <w:sz w:val="1"/>
                <w:szCs w:val="1"/>
                <w:color w:val="auto"/>
              </w:rPr>
            </w:pPr>
          </w:p>
        </w:tc>
      </w:tr>
      <w:tr>
        <w:trPr>
          <w:trHeight w:val="228"/>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Admitted markets</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341,254</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22"/>
        </w:trPr>
        <w:tc>
          <w:tcPr>
            <w:tcW w:w="8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1,431,772</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20" w:firstLine="323"/>
        <w:spacing w:after="0" w:line="256" w:lineRule="auto"/>
        <w:rPr>
          <w:sz w:val="20"/>
          <w:szCs w:val="20"/>
          <w:color w:val="auto"/>
        </w:rPr>
      </w:pPr>
      <w:r>
        <w:rPr>
          <w:rFonts w:ascii="Times New Roman" w:cs="Times New Roman" w:eastAsia="Times New Roman" w:hAnsi="Times New Roman"/>
          <w:sz w:val="18"/>
          <w:szCs w:val="18"/>
          <w:color w:val="auto"/>
        </w:rPr>
        <w:t>The A.M. Best Company (“A.M. Best”) financial strength rating for our group’s regulated U.S. subsidiaries is “A-” (Excellent) with a negative outlook. This rating reflects A.M. Best’s opinion of our insurance subsidiaries’ financial strength, operating performance and ability to meet obligations to policyholders and is not an evaluation directed towards the protection of investors. The rating for our U.S. operating insurance companies of “A-” (Excellent) is the fourth highest rating of the thirteen ratings issued by A.M. Best and is assigned to insurers that have, in A.M. Best’s opinion, an excellent ability to meet their ongoing obligations to policyholders.</w:t>
      </w:r>
    </w:p>
    <w:p>
      <w:pPr>
        <w:spacing w:after="0" w:line="79" w:lineRule="exact"/>
        <w:rPr>
          <w:sz w:val="20"/>
          <w:szCs w:val="20"/>
          <w:color w:val="auto"/>
        </w:rPr>
      </w:pPr>
    </w:p>
    <w:p>
      <w:pPr>
        <w:jc w:val="both"/>
        <w:ind w:right="40" w:firstLine="323"/>
        <w:spacing w:after="0" w:line="264" w:lineRule="auto"/>
        <w:rPr>
          <w:sz w:val="20"/>
          <w:szCs w:val="20"/>
          <w:color w:val="auto"/>
        </w:rPr>
      </w:pPr>
      <w:r>
        <w:rPr>
          <w:rFonts w:ascii="Times New Roman" w:cs="Times New Roman" w:eastAsia="Times New Roman" w:hAnsi="Times New Roman"/>
          <w:sz w:val="18"/>
          <w:szCs w:val="18"/>
          <w:color w:val="auto"/>
        </w:rPr>
        <w:t>The financial strength ratings assigned by A.M. Best have an impact on the ability of our regulated subsidiaries to attract and retain agents and brokers and on the risk profiles of the submissions for insurance that our subsidiaries receive. We believe the “A-” (Excellent) ratings assigned to our U.S. insurance subsidiaries allow our subsidiaries to actively pursue relationships with the agents and brokers identified in their marketing plans.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19" w:lineRule="exact"/>
        <w:rPr>
          <w:sz w:val="20"/>
          <w:szCs w:val="20"/>
          <w:color w:val="auto"/>
        </w:rPr>
      </w:pPr>
    </w:p>
    <w:p>
      <w:pPr>
        <w:jc w:val="both"/>
        <w:ind w:right="320" w:firstLine="323"/>
        <w:spacing w:after="0" w:line="264" w:lineRule="auto"/>
        <w:rPr>
          <w:sz w:val="20"/>
          <w:szCs w:val="20"/>
          <w:color w:val="auto"/>
        </w:rPr>
      </w:pPr>
      <w:r>
        <w:rPr>
          <w:rFonts w:ascii="Times New Roman" w:cs="Times New Roman" w:eastAsia="Times New Roman" w:hAnsi="Times New Roman"/>
          <w:sz w:val="18"/>
          <w:szCs w:val="18"/>
          <w:color w:val="auto"/>
        </w:rPr>
        <w:t>In 2002, a group of experienced insurance executives created James River Group, Inc. (“James River Group”). James River Group was listed on the NASDAQ Stock Market (symbol: JRVR) in 2005. James River Group had two insurance company subsidiaries, James River Insurance and Stonewood Insurance. Both of these subsidiaries as well as James River Group remain subsidiaries of ours.</w:t>
      </w:r>
    </w:p>
    <w:p>
      <w:pPr>
        <w:spacing w:after="0" w:line="69" w:lineRule="exact"/>
        <w:rPr>
          <w:sz w:val="20"/>
          <w:szCs w:val="20"/>
          <w:color w:val="auto"/>
        </w:rPr>
      </w:pPr>
    </w:p>
    <w:p>
      <w:pPr>
        <w:ind w:right="420" w:firstLine="323"/>
        <w:spacing w:after="0" w:line="280" w:lineRule="auto"/>
        <w:rPr>
          <w:sz w:val="20"/>
          <w:szCs w:val="20"/>
          <w:color w:val="auto"/>
        </w:rPr>
      </w:pPr>
      <w:r>
        <w:rPr>
          <w:rFonts w:ascii="Times New Roman" w:cs="Times New Roman" w:eastAsia="Times New Roman" w:hAnsi="Times New Roman"/>
          <w:sz w:val="18"/>
          <w:szCs w:val="18"/>
          <w:color w:val="auto"/>
        </w:rPr>
        <w:t>In 2007, a group of investors acquired James River Group, at which point it ceased trading as a public company. Simultaneously, the investors and management founded and capitalized JRG Re to begin providing reinsurance to third parties and our U.S.-based insurance subsidiaries.</w:t>
      </w:r>
    </w:p>
    <w:p>
      <w:pPr>
        <w:spacing w:after="0" w:line="55" w:lineRule="exact"/>
        <w:rPr>
          <w:sz w:val="20"/>
          <w:szCs w:val="20"/>
          <w:color w:val="auto"/>
        </w:rPr>
      </w:pPr>
    </w:p>
    <w:p>
      <w:pPr>
        <w:ind w:right="160" w:firstLine="323"/>
        <w:spacing w:after="0" w:line="280" w:lineRule="auto"/>
        <w:rPr>
          <w:sz w:val="20"/>
          <w:szCs w:val="20"/>
          <w:color w:val="auto"/>
        </w:rPr>
      </w:pPr>
      <w:r>
        <w:rPr>
          <w:rFonts w:ascii="Times New Roman" w:cs="Times New Roman" w:eastAsia="Times New Roman" w:hAnsi="Times New Roman"/>
          <w:sz w:val="18"/>
          <w:szCs w:val="18"/>
          <w:color w:val="auto"/>
        </w:rPr>
        <w:t>In December 2014, we completed an initial public offering of our common shares (the “IPO”). Institutional investors sold all of the common shares in the IPO. Neither the Company nor any of its management or other shareholders sold shares in the IPO.</w:t>
      </w:r>
    </w:p>
    <w:p>
      <w:pPr>
        <w:spacing w:after="0" w:line="55" w:lineRule="exact"/>
        <w:rPr>
          <w:sz w:val="20"/>
          <w:szCs w:val="20"/>
          <w:color w:val="auto"/>
        </w:rPr>
      </w:pPr>
    </w:p>
    <w:p>
      <w:pPr>
        <w:ind w:right="260" w:firstLine="323"/>
        <w:spacing w:after="0" w:line="280" w:lineRule="auto"/>
        <w:rPr>
          <w:sz w:val="20"/>
          <w:szCs w:val="20"/>
          <w:color w:val="auto"/>
        </w:rPr>
      </w:pPr>
      <w:r>
        <w:rPr>
          <w:rFonts w:ascii="Times New Roman" w:cs="Times New Roman" w:eastAsia="Times New Roman" w:hAnsi="Times New Roman"/>
          <w:sz w:val="18"/>
          <w:szCs w:val="18"/>
          <w:color w:val="auto"/>
        </w:rPr>
        <w:t>In November 2023, we announced an agreement to sell JRG Re. The sale of JRG Re, which closed on April 16, 2024, allows us to focus on growing our U.S. insurance and fronting businesses.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have the following competitive strengths:</w:t>
      </w:r>
    </w:p>
    <w:p>
      <w:pPr>
        <w:spacing w:after="0" w:line="113" w:lineRule="exact"/>
        <w:rPr>
          <w:sz w:val="20"/>
          <w:szCs w:val="20"/>
          <w:color w:val="auto"/>
        </w:rPr>
      </w:pPr>
    </w:p>
    <w:p>
      <w:pPr>
        <w:ind w:firstLine="323"/>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Broad Underwriting Expertise. </w:t>
      </w:r>
      <w:r>
        <w:rPr>
          <w:rFonts w:ascii="Times New Roman" w:cs="Times New Roman" w:eastAsia="Times New Roman" w:hAnsi="Times New Roman"/>
          <w:sz w:val="18"/>
          <w:szCs w:val="18"/>
          <w:color w:val="auto"/>
        </w:rPr>
        <w:t>We strive to be innovative in tailoring our products to provide solutions for our distribution partners and insureds,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willing to entertain insuring many types of risk classifications. As a result, we believe we are a “go to” market for a wide variety of risks. We are able to structure solutions for our insureds and the wholesale brokers with whom we work because of our deep technical expertise and experience in the niches and specialties we underwrite.</w:t>
      </w:r>
    </w:p>
    <w:p>
      <w:pPr>
        <w:spacing w:after="0" w:line="71" w:lineRule="exact"/>
        <w:rPr>
          <w:sz w:val="20"/>
          <w:szCs w:val="20"/>
          <w:color w:val="auto"/>
        </w:rPr>
      </w:pPr>
    </w:p>
    <w:p>
      <w:pPr>
        <w:ind w:right="60" w:firstLine="323"/>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Focus on Small and Medium-Sized Casualty Niche and Specialty Business. </w:t>
      </w:r>
      <w:r>
        <w:rPr>
          <w:rFonts w:ascii="Times New Roman" w:cs="Times New Roman" w:eastAsia="Times New Roman" w:hAnsi="Times New Roman"/>
          <w:sz w:val="18"/>
          <w:szCs w:val="18"/>
          <w:color w:val="auto"/>
        </w:rPr>
        <w:t>We believe that small- and medium-sized casualty accounts, in niche areas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we focus, are consistently among the most attractive subsets of the property-casualty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insurance and reinsurance market. We think the unique characteristics of the risks within these markets require each account to be individually underwritten in an efficient manner.</w:t>
      </w:r>
    </w:p>
    <w:p>
      <w:pPr>
        <w:spacing w:after="0" w:line="55" w:lineRule="exact"/>
        <w:rPr>
          <w:sz w:val="20"/>
          <w:szCs w:val="20"/>
          <w:color w:val="auto"/>
        </w:rPr>
      </w:pPr>
    </w:p>
    <w:p>
      <w:pPr>
        <w:ind w:right="40" w:firstLine="323"/>
        <w:spacing w:after="0" w:line="252" w:lineRule="auto"/>
        <w:rPr>
          <w:sz w:val="20"/>
          <w:szCs w:val="20"/>
          <w:color w:val="auto"/>
        </w:rPr>
      </w:pPr>
      <w:r>
        <w:rPr>
          <w:rFonts w:ascii="Times New Roman" w:cs="Times New Roman" w:eastAsia="Times New Roman" w:hAnsi="Times New Roman"/>
          <w:sz w:val="18"/>
          <w:szCs w:val="18"/>
          <w:color w:val="auto"/>
        </w:rPr>
        <w:t>Many carriers have chosen either to reject business that requires individual underwriting or have attempted to automate the underwriting of this highly variable business. Since our inception, we have embraced technology to greatly reduce the cost of individually underwriting these accounts in our Excess and Surplus Lines and Specialty Admitted Insurance segments. We are investing in technologies that may bring additional insights to our underwriters and allow them to refine and improve their risk selection and pricing. We continue to have our underwriters make individual judgments regarding the underwriting and pricing of accounts. Our experience leads us to believe this approach, combining expert judgment and technology designed to provide our underwriters with relevant information and quick processing, is more likely to produce consistent results over time and across markets. We are successfully increasing rates in our Excess and Surplus Lines segment. Pricing on our E&amp;S renewal book has increased for twenty-eight consecutive quarters. The Excess and Surplus Lines segment represented 71.0% of our gross written premiums and 87.5% of our net written premiums from continuing operations for the year ended December 31, 2024. We believe that there are compelling opportunities for measured but profitable growth in many sectors of the insurance markets we target.</w:t>
      </w:r>
    </w:p>
    <w:p>
      <w:pPr>
        <w:spacing w:after="0" w:line="82" w:lineRule="exact"/>
        <w:rPr>
          <w:sz w:val="20"/>
          <w:szCs w:val="20"/>
          <w:color w:val="auto"/>
        </w:rPr>
      </w:pPr>
    </w:p>
    <w:p>
      <w:pPr>
        <w:jc w:val="both"/>
        <w:ind w:right="140" w:firstLine="323"/>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Emphasis on Lowering Property Catastrophe Volatility. </w:t>
      </w:r>
      <w:r>
        <w:rPr>
          <w:rFonts w:ascii="Times New Roman" w:cs="Times New Roman" w:eastAsia="Times New Roman" w:hAnsi="Times New Roman"/>
          <w:sz w:val="18"/>
          <w:szCs w:val="18"/>
          <w:color w:val="auto"/>
        </w:rPr>
        <w:t>We earn our profits by taking underwriting and investment risk. We underwrite many classes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insurance and invest in many types of assets. We believe we have minimal exposure to material property risks and did not have meaningful losses from property risks during 2024.</w:t>
      </w:r>
    </w:p>
    <w:p>
      <w:pPr>
        <w:spacing w:after="0" w:line="69" w:lineRule="exact"/>
        <w:rPr>
          <w:sz w:val="20"/>
          <w:szCs w:val="20"/>
          <w:color w:val="auto"/>
        </w:rPr>
      </w:pPr>
    </w:p>
    <w:p>
      <w:pPr>
        <w:ind w:right="20" w:firstLine="323"/>
        <w:spacing w:after="0" w:line="259" w:lineRule="auto"/>
        <w:rPr>
          <w:sz w:val="20"/>
          <w:szCs w:val="20"/>
          <w:color w:val="auto"/>
        </w:rPr>
      </w:pPr>
      <w:r>
        <w:rPr>
          <w:rFonts w:ascii="Times New Roman" w:cs="Times New Roman" w:eastAsia="Times New Roman" w:hAnsi="Times New Roman"/>
          <w:sz w:val="18"/>
          <w:szCs w:val="18"/>
          <w:color w:val="auto"/>
        </w:rPr>
        <w:t>We seek to limit our catastrophic underwriting exposure in all areas, but in particular to property risks and catastrophic events. Our companies purchase reinsurance from unaffiliated reinsurers to reduce our net exposure to any one risk or occurrence. In addition, our policy forms and pricing are subject to regular formal analysis in an effort to confirm we are insuring the types of risks we intend and that we are being appropriately compensated for taking on those risks.</w:t>
      </w:r>
    </w:p>
    <w:p>
      <w:pPr>
        <w:spacing w:after="0" w:line="72" w:lineRule="exact"/>
        <w:rPr>
          <w:sz w:val="20"/>
          <w:szCs w:val="20"/>
          <w:color w:val="auto"/>
        </w:rPr>
      </w:pPr>
    </w:p>
    <w:p>
      <w:pPr>
        <w:ind w:right="40" w:firstLine="32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Talented Underwriters and Operating Leadership. </w:t>
      </w:r>
      <w:r>
        <w:rPr>
          <w:rFonts w:ascii="Times New Roman" w:cs="Times New Roman" w:eastAsia="Times New Roman" w:hAnsi="Times New Roman"/>
          <w:sz w:val="18"/>
          <w:szCs w:val="18"/>
          <w:color w:val="auto"/>
        </w:rPr>
        <w:t>The managers of our 15 underwriting divisions have an average of over 25 years of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substantial subject matter expertise and deep technical knowledge. They have been successful and profitable underwriters for us in the specialty casualty insurance sector. Our segment presidents both have extensive backgrounds and histories working in management capacities in specialty casualty insurance. Our Chief U.S. Claims Officer and Chief Underwriting Officer have extensive backgrounds in operational leadership within specialty casualty insurance, including a deep focus on risk management.</w:t>
      </w:r>
    </w:p>
    <w:p>
      <w:pPr>
        <w:spacing w:after="0" w:line="74" w:lineRule="exact"/>
        <w:rPr>
          <w:sz w:val="20"/>
          <w:szCs w:val="20"/>
          <w:color w:val="auto"/>
        </w:rPr>
      </w:pPr>
    </w:p>
    <w:p>
      <w:pPr>
        <w:jc w:val="both"/>
        <w:ind w:right="100" w:firstLine="323"/>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Robust Technology and Data Capture. </w:t>
      </w:r>
      <w:r>
        <w:rPr>
          <w:rFonts w:ascii="Times New Roman" w:cs="Times New Roman" w:eastAsia="Times New Roman" w:hAnsi="Times New Roman"/>
          <w:sz w:val="18"/>
          <w:szCs w:val="18"/>
          <w:color w:val="auto"/>
        </w:rPr>
        <w:t>We seek to ground our underwriting decisions in reliable historical data and technical evaluation of risks.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utilize intuitive systems and differentiated technologies. We have implemented processes to capture extensive data from our book of business, before, during and after the underwriting analysis and decision. We use the data we collect to inform and, we believe, improve our judgment about similar risks as we refine our underwriting criteria. We use the data we collect in regular formal review processes for each of our lines of business.</w:t>
      </w:r>
    </w:p>
    <w:p>
      <w:pPr>
        <w:spacing w:after="0" w:line="71" w:lineRule="exact"/>
        <w:rPr>
          <w:sz w:val="20"/>
          <w:szCs w:val="20"/>
          <w:color w:val="auto"/>
        </w:rPr>
      </w:pPr>
    </w:p>
    <w:p>
      <w:pPr>
        <w:ind w:right="100" w:firstLine="323"/>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Active Claims Management. </w:t>
      </w:r>
      <w:r>
        <w:rPr>
          <w:rFonts w:ascii="Times New Roman" w:cs="Times New Roman" w:eastAsia="Times New Roman" w:hAnsi="Times New Roman"/>
          <w:sz w:val="18"/>
          <w:szCs w:val="18"/>
          <w:color w:val="auto"/>
        </w:rPr>
        <w:t>Our primary insurance companies actively manage claims. We attempt to investigate thoroughly and settle promptly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covered claims, which we generally accomplish through direct contact with the insured and other affected parties. We have historically been able to close approximately 92% of claims from a particular policy year within the five subsequent years, and as of December 31, 2024, our reserves for claims incurred but not reported (“IBNR”) for our continuing operations were 63.5% of total net loss reserves.</w:t>
      </w:r>
    </w:p>
    <w:p>
      <w:pPr>
        <w:spacing w:after="0" w:line="71" w:lineRule="exact"/>
        <w:rPr>
          <w:sz w:val="20"/>
          <w:szCs w:val="20"/>
          <w:color w:val="auto"/>
        </w:rPr>
      </w:pPr>
    </w:p>
    <w:p>
      <w:pPr>
        <w:ind w:right="140" w:firstLine="323"/>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Meaningful Risk Adjusted Investment Returns. </w:t>
      </w:r>
      <w:r>
        <w:rPr>
          <w:rFonts w:ascii="Times New Roman" w:cs="Times New Roman" w:eastAsia="Times New Roman" w:hAnsi="Times New Roman"/>
          <w:sz w:val="17"/>
          <w:szCs w:val="17"/>
          <w:color w:val="auto"/>
        </w:rPr>
        <w:t>We seek to generate meaningful contributions to company profitability from our investment portfolio.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attempt to follow a strategy that emphasizes the preservation of our invested assets, provides adequate liquidity for the prompt payment of claims and produces attractive results for our shareholders. Within that context, we seek to improve risk-adjusted returns in our investment portfolio by allocating a portion of our portfolio to investments where we take measured risks based upon detailed knowledge of certain niche asset classes. Investment grade fixed maturity securities make up the majority of our investment portfolio, and we are comfortable allocating a portion of our assets to non-traditional investments. We consider non-traditional investments to include investments that are (1) unrated bond or fixed income securities, (2) non-listed equities or</w:t>
      </w:r>
    </w:p>
    <w:p>
      <w:pPr>
        <w:spacing w:after="0" w:line="1" w:lineRule="exact"/>
        <w:rPr>
          <w:sz w:val="20"/>
          <w:szCs w:val="20"/>
          <w:color w:val="auto"/>
        </w:rPr>
      </w:pPr>
    </w:p>
    <w:p>
      <w:pPr>
        <w:ind w:firstLine="7"/>
        <w:spacing w:after="0" w:line="251" w:lineRule="auto"/>
        <w:tabs>
          <w:tab w:leader="none" w:pos="2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that generally have less liquidity than rated bond or fixed income securities or listed equities. Non-traditional investments represented 9.4% of our total cash and invested assets (excluding restricted cash equivalents) at December 31, 2024, consisting of syndicated bank loans (7.4%) and other invested assets (1.9%) that include interests in limited liability companies that invest in renewable energy opportunities and limited partnerships that invest in debt or equity securities. While we are willing to make investments in non-traditional types of investments, we seek to avoid asset classes and investments that we do not understand. The weighted average credit rating of our portfolio of fixed maturity securities, bank loans and preferred stocks as of December 31, 2024 was “A”. At December 31, 2024, the average duration of our total invested assets and cash, excluding restricted cash, was 3.4 years.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19" w:lineRule="exact"/>
        <w:rPr>
          <w:sz w:val="20"/>
          <w:szCs w:val="20"/>
          <w:color w:val="auto"/>
        </w:rPr>
      </w:pPr>
    </w:p>
    <w:p>
      <w:pPr>
        <w:ind w:right="220" w:firstLine="323"/>
        <w:spacing w:after="0" w:line="280" w:lineRule="auto"/>
        <w:rPr>
          <w:sz w:val="20"/>
          <w:szCs w:val="20"/>
          <w:color w:val="auto"/>
        </w:rPr>
      </w:pPr>
      <w:r>
        <w:rPr>
          <w:rFonts w:ascii="Times New Roman" w:cs="Times New Roman" w:eastAsia="Times New Roman" w:hAnsi="Times New Roman"/>
          <w:sz w:val="18"/>
          <w:szCs w:val="18"/>
          <w:color w:val="auto"/>
        </w:rPr>
        <w:t>We believe our approach to our business will help us achieve our goal of generating compelling returns on tangible equity while limiting volatility in our financial results. This approach involves the following:</w:t>
      </w:r>
    </w:p>
    <w:p>
      <w:pPr>
        <w:spacing w:after="0" w:line="53" w:lineRule="exact"/>
        <w:rPr>
          <w:sz w:val="20"/>
          <w:szCs w:val="20"/>
          <w:color w:val="auto"/>
        </w:rPr>
      </w:pPr>
    </w:p>
    <w:p>
      <w:pPr>
        <w:ind w:right="80" w:firstLine="323"/>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Generate Underwriting Profits. </w:t>
      </w:r>
      <w:r>
        <w:rPr>
          <w:rFonts w:ascii="Times New Roman" w:cs="Times New Roman" w:eastAsia="Times New Roman" w:hAnsi="Times New Roman"/>
          <w:sz w:val="17"/>
          <w:szCs w:val="17"/>
          <w:color w:val="auto"/>
        </w:rPr>
        <w:t>We seek to make underwriting profits from our diverse set of insurance products. We attempt to find ways to grow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markets we believe to be profitable, but are less concerned about growth than maintaining profitability in our underwriting activities (measured without regard to investment income). We are willing to reduce the premiums we write when we cannot achieve the pricing and contract terms we believe are necessary to meet our financial goals. We continue to invest in our maturing enterprise risk management framework and performance monitoring discipline – key underpinnings of our organization today. We believe that these actions position James River very well for long-term stability and profitable growth.</w:t>
      </w:r>
    </w:p>
    <w:p>
      <w:pPr>
        <w:spacing w:after="0" w:line="58" w:lineRule="exact"/>
        <w:rPr>
          <w:sz w:val="20"/>
          <w:szCs w:val="20"/>
          <w:color w:val="auto"/>
        </w:rPr>
      </w:pPr>
    </w:p>
    <w:p>
      <w:pPr>
        <w:jc w:val="both"/>
        <w:ind w:right="400" w:firstLine="323"/>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Maintain a Strong Balance Sheet. </w:t>
      </w:r>
      <w:r>
        <w:rPr>
          <w:rFonts w:ascii="Times New Roman" w:cs="Times New Roman" w:eastAsia="Times New Roman" w:hAnsi="Times New Roman"/>
          <w:sz w:val="18"/>
          <w:szCs w:val="18"/>
          <w:color w:val="auto"/>
        </w:rPr>
        <w:t>Balance sheet integrity is key to our long-term success. In order to maintain balance sheet integrity, we seek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 the amount of future obligations, especially reserves for losses and loss adjustment expenses, in a consistent and appropriate fashion. We have taken a number of actions in recent years especially, all with a goal of protecting and maintaining our balance sheet.</w:t>
      </w:r>
    </w:p>
    <w:p>
      <w:pPr>
        <w:spacing w:after="0" w:line="67" w:lineRule="exact"/>
        <w:rPr>
          <w:sz w:val="20"/>
          <w:szCs w:val="20"/>
          <w:color w:val="auto"/>
        </w:rPr>
      </w:pPr>
    </w:p>
    <w:p>
      <w:pPr>
        <w:ind w:right="20" w:firstLine="323"/>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Respond Rapidly to Market Opportunities and Challenges. </w:t>
      </w:r>
      <w:r>
        <w:rPr>
          <w:rFonts w:ascii="Times New Roman" w:cs="Times New Roman" w:eastAsia="Times New Roman" w:hAnsi="Times New Roman"/>
          <w:sz w:val="18"/>
          <w:szCs w:val="18"/>
          <w:color w:val="auto"/>
        </w:rPr>
        <w:t>For the year ended December 31, 2024, gross written premiums for the Excess and Surplus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Lines segment increased by 1.0% over the same period in 2023. Given the challenges the organization faced during 2024 especially, we view this as a validating result. We seek to grow our business by taking advantage of opportunities in markets in which we believe we can use our expertise to generate consistent underwriting profits. We seek to measure rates and react quickly to changes in the rates or terms the market will accept. In this favorable pricing environment, we have taken steps to grow and are increasing gross written premiums across most underwriting divisions in this segment. In 2024, our growth was primarily focused in our General Casualty, Environmental, and Sports and Entertainment divisions within our Excess and Surplus Lines segment. This very specific evaluation of each risk or class of risks is a hallmark of our underwriting.</w:t>
      </w:r>
    </w:p>
    <w:p>
      <w:pPr>
        <w:spacing w:after="0" w:line="81" w:lineRule="exact"/>
        <w:rPr>
          <w:sz w:val="20"/>
          <w:szCs w:val="20"/>
          <w:color w:val="auto"/>
        </w:rPr>
      </w:pPr>
    </w:p>
    <w:p>
      <w:pPr>
        <w:ind w:right="100" w:firstLine="323"/>
        <w:spacing w:after="0" w:line="273" w:lineRule="auto"/>
        <w:rPr>
          <w:sz w:val="20"/>
          <w:szCs w:val="20"/>
          <w:color w:val="auto"/>
        </w:rPr>
      </w:pPr>
      <w:r>
        <w:rPr>
          <w:rFonts w:ascii="Times New Roman" w:cs="Times New Roman" w:eastAsia="Times New Roman" w:hAnsi="Times New Roman"/>
          <w:sz w:val="17"/>
          <w:szCs w:val="17"/>
          <w:color w:val="auto"/>
        </w:rPr>
        <w:t>When market conditions have been challenging, or when actual experience has not been as favorable as we anticipated, or when the size or risk profile of certain insureds or lines of business change, we have tried to act quickly to evaluate our situation and to make course corrections in order to protect our profits and preserve tangible equity. Our actions have included reducing our writings when margins tightened and exiting lines or classes of business when we believed the risk of continuing in a line outweighed the potential rewards from underwriting. We do not hesitate to increase loss estimates when we determine that it is appropriate. In 2023, we took actions to reduce our workers' compensation book of business in the Specialty Admitted Insurance segment by the non-renewal of a large California program and by selling the renewal rights to our Individual Risk Workers' Compensation business.</w:t>
      </w:r>
    </w:p>
    <w:p>
      <w:pPr>
        <w:spacing w:after="0" w:line="61" w:lineRule="exact"/>
        <w:rPr>
          <w:sz w:val="20"/>
          <w:szCs w:val="20"/>
          <w:color w:val="auto"/>
        </w:rPr>
      </w:pPr>
    </w:p>
    <w:p>
      <w:pPr>
        <w:ind w:firstLine="323"/>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Use Timely and Accurate Data. </w:t>
      </w:r>
      <w:r>
        <w:rPr>
          <w:rFonts w:ascii="Times New Roman" w:cs="Times New Roman" w:eastAsia="Times New Roman" w:hAnsi="Times New Roman"/>
          <w:sz w:val="17"/>
          <w:szCs w:val="17"/>
          <w:color w:val="auto"/>
        </w:rPr>
        <w:t>We design our internal processing and data collection systems to provide our management team with accurate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relevant information in real-time. We collect premium, commission and claims data, including detailed information regarding policy price, terms, conditions and the nature of the insured’s business. This data allows us to analyze trends in our business, including results by individual agent or broker, underwriter and class of business and expand or contract our operations quickly in response to market conditions. We rely on our information technology systems in this process. Additionally, the claims staff also contributes to our underwriting operations through its communication of claims information to our underwriters.</w:t>
      </w:r>
    </w:p>
    <w:p>
      <w:pPr>
        <w:spacing w:after="0" w:line="58" w:lineRule="exact"/>
        <w:rPr>
          <w:sz w:val="20"/>
          <w:szCs w:val="20"/>
          <w:color w:val="auto"/>
        </w:rPr>
      </w:pPr>
    </w:p>
    <w:p>
      <w:pPr>
        <w:ind w:right="340" w:firstLine="323"/>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Earn a Meaningful Contribution from Investments. </w:t>
      </w:r>
      <w:r>
        <w:rPr>
          <w:rFonts w:ascii="Times New Roman" w:cs="Times New Roman" w:eastAsia="Times New Roman" w:hAnsi="Times New Roman"/>
          <w:sz w:val="18"/>
          <w:szCs w:val="18"/>
          <w:color w:val="auto"/>
        </w:rPr>
        <w:t>We seek to earn a meaningful contribution to our overall returns from our investment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each year. We attempt to balance the preservation of assets, liquidity needs and mitigation of volatility with returns across our portfolio. We believe our diversified portfolio and ability to source investment opportunities positions us well to generate returns while balancing the importance of maintaining a strong balance sheet.</w:t>
      </w:r>
    </w:p>
    <w:p>
      <w:pPr>
        <w:spacing w:after="0" w:line="71" w:lineRule="exact"/>
        <w:rPr>
          <w:sz w:val="20"/>
          <w:szCs w:val="20"/>
          <w:color w:val="auto"/>
        </w:rPr>
      </w:pPr>
    </w:p>
    <w:p>
      <w:pPr>
        <w:ind w:right="100" w:firstLine="323"/>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Manage Capital Actively. </w:t>
      </w:r>
      <w:r>
        <w:rPr>
          <w:rFonts w:ascii="Times New Roman" w:cs="Times New Roman" w:eastAsia="Times New Roman" w:hAnsi="Times New Roman"/>
          <w:sz w:val="18"/>
          <w:szCs w:val="18"/>
          <w:color w:val="auto"/>
        </w:rPr>
        <w:t>We invest and manage our capital with a goal of consistently increasing tangible equity for our shareholders and generating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attractive returns on tangible equity. We intend to expand our premium volume and capital base to take advantage of opportunities to earn an underwriting profit or to reduce our premium volume and capital base if attractive underwriting opportunities are not available. We expect to finance our future operations with a combination of debt and equity and do not intend to raise or retain more capital than we believe we can profitably deploy in a reasonable time frame or that is reasonably necessary to bolster the capital positions of our regulated insurance entities. We may not, however, always be able to raise capital when needed. Our ratings from A.M. Best are very important to us, as are our relationships with our regulators, and maintaining them in good order is a principal consideration in our decisions regarding capital management.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Structure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chart below displays our corporate structure as of December 31, 2024 as it pertains to our holding and operating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85090</wp:posOffset>
            </wp:positionV>
            <wp:extent cx="4914265" cy="3702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14265" cy="3702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Excess and Surplus Lines Segment</w:t>
      </w:r>
    </w:p>
    <w:p>
      <w:pPr>
        <w:spacing w:after="0" w:line="119" w:lineRule="exact"/>
        <w:rPr>
          <w:sz w:val="20"/>
          <w:szCs w:val="20"/>
          <w:color w:val="auto"/>
        </w:rPr>
      </w:pPr>
    </w:p>
    <w:p>
      <w:pPr>
        <w:ind w:firstLine="323"/>
        <w:spacing w:after="0" w:line="259" w:lineRule="auto"/>
        <w:rPr>
          <w:sz w:val="20"/>
          <w:szCs w:val="20"/>
          <w:color w:val="auto"/>
        </w:rPr>
      </w:pPr>
      <w:r>
        <w:rPr>
          <w:rFonts w:ascii="Times New Roman" w:cs="Times New Roman" w:eastAsia="Times New Roman" w:hAnsi="Times New Roman"/>
          <w:sz w:val="18"/>
          <w:szCs w:val="18"/>
          <w:color w:val="auto"/>
        </w:rPr>
        <w:t>We underwrite non-admitted E&amp;S business through our subsidiaries, James River Insurance and James River Casualty (together, “James River,” which comprises our Excess and Surplus Lines segment), from offices in Richmond, Virginia; Scottsdale, Arizona; and Atlanta, Georgia. The Excess and Surplus Lines segment is our largest segment, representing 71.0% of consolidated gross written premiums from continuing operations for the year ended December 31, 2024. James River has been engaged in the E&amp;S insurance market for over 20 years.</w:t>
      </w:r>
    </w:p>
    <w:p>
      <w:pPr>
        <w:spacing w:after="0" w:line="74" w:lineRule="exact"/>
        <w:rPr>
          <w:sz w:val="20"/>
          <w:szCs w:val="20"/>
          <w:color w:val="auto"/>
        </w:rPr>
      </w:pPr>
    </w:p>
    <w:p>
      <w:pPr>
        <w:ind w:firstLine="323"/>
        <w:spacing w:after="0" w:line="252" w:lineRule="auto"/>
        <w:rPr>
          <w:sz w:val="20"/>
          <w:szCs w:val="20"/>
          <w:color w:val="auto"/>
        </w:rPr>
      </w:pPr>
      <w:r>
        <w:rPr>
          <w:rFonts w:ascii="Times New Roman" w:cs="Times New Roman" w:eastAsia="Times New Roman" w:hAnsi="Times New Roman"/>
          <w:sz w:val="18"/>
          <w:szCs w:val="18"/>
          <w:color w:val="auto"/>
        </w:rPr>
        <w:t>The E&amp;S industry focuses on providing insurance coverage to policyholders that may be unable to purchase insurance from standard lines insurers typically due to perceived risk related to their operations or risk exposures. Our Excess and Surplus Lines segment underwrites property-casualty insurance in all states and the District of Columbia. We utilize a network of authorized wholesale brokers and general agents throughout the United States. Gross written premiums for our Excess and Surplus Lines segment grew by 1.0%, 9.4%, and 10.5% in 2024, 2023, and 2022, respectively. Net written premiums declined by 13.8% in 2024 compared to growth of 0.1% and 17.5% in 2023 and 2022, respectively. The decline in 2024 was partially attributable to $52.8 million of ceded written premium recorded upon execution of the E&amp;S Top Up ADC (as defined under the heading “Adverse Development Cover” below) in the fourth quarter of 2024. Net written premiums in 2024 and 2023 were also impacted by premium adjustments associated with prior years including reinstatement premium, and the renewal of a quota share treaty, effective July 1, 2023, that increased premium cessions across all underwriting divisions other than Excess Casualty and resulted in lower retentions for the segment. The Excess and Surplus Lines segment produced a cumulative combined ratio of 97.2% from 2015 through 2024. Excluding our former insured, Rasier LLC and its affiliates (“Rasier”), the cumulative combined ratio of the Excess and Surplus Lines segment for 2019 through 2024 was 91.2%.</w:t>
      </w:r>
    </w:p>
    <w:p>
      <w:pPr>
        <w:spacing w:after="0" w:line="82" w:lineRule="exact"/>
        <w:rPr>
          <w:sz w:val="20"/>
          <w:szCs w:val="20"/>
          <w:color w:val="auto"/>
        </w:rPr>
      </w:pPr>
    </w:p>
    <w:p>
      <w:pPr>
        <w:ind w:right="20" w:firstLine="323"/>
        <w:spacing w:after="0" w:line="259" w:lineRule="auto"/>
        <w:rPr>
          <w:sz w:val="20"/>
          <w:szCs w:val="20"/>
          <w:color w:val="auto"/>
        </w:rPr>
      </w:pPr>
      <w:r>
        <w:rPr>
          <w:rFonts w:ascii="Times New Roman" w:cs="Times New Roman" w:eastAsia="Times New Roman" w:hAnsi="Times New Roman"/>
          <w:sz w:val="18"/>
          <w:szCs w:val="18"/>
          <w:color w:val="auto"/>
        </w:rPr>
        <w:t>Companies that underwrite on an E&amp;S lines basis operate under a different regulatory structure than standard market carriers. E&amp;S lines carriers are generally permitted to craft the terms of the insurance contract to suit the particular risk they are assuming. E&amp;S lines carriers are, for the most part, free of rate and form regulation. In contrast, standard market carriers are generally required to use approved insurance forms and to charge rates that have been authorized by or filed with state</w:t>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86995</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7"/>
          <w:szCs w:val="17"/>
          <w:color w:val="auto"/>
        </w:rPr>
        <w:t>insurance departments. However, as E&amp;S carriers, our insurance subsidiaries in the Excess and Surplus Lines segment are not backed by any state’s guarantee fund, and in most states these subsidiaries may only write coverage for an insured after they have been declined coverage by the standard market.</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Excess and Surplus Lines segment underwrites coverage for a wide range of commercial businesses and does not write personal lines insurance.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for insurance are presented to us by authorized wholesale brokers who are engaged by retail agents to assist in coverage procurement.</w:t>
      </w:r>
    </w:p>
    <w:p>
      <w:pPr>
        <w:spacing w:after="0" w:line="97" w:lineRule="exact"/>
        <w:rPr>
          <w:sz w:val="20"/>
          <w:szCs w:val="20"/>
          <w:color w:val="auto"/>
        </w:rPr>
      </w:pPr>
    </w:p>
    <w:p>
      <w:pPr>
        <w:ind w:right="360" w:firstLine="323"/>
        <w:spacing w:after="0" w:line="280" w:lineRule="auto"/>
        <w:rPr>
          <w:sz w:val="20"/>
          <w:szCs w:val="20"/>
          <w:color w:val="auto"/>
        </w:rPr>
      </w:pPr>
      <w:r>
        <w:rPr>
          <w:rFonts w:ascii="Times New Roman" w:cs="Times New Roman" w:eastAsia="Times New Roman" w:hAnsi="Times New Roman"/>
          <w:sz w:val="18"/>
          <w:szCs w:val="18"/>
          <w:color w:val="auto"/>
        </w:rPr>
        <w:t>Claims for business written and retained by the Excess and Surplus Lines segment are managed by our internal claims department although we use independent adjusters for inspection and payment of certain claims.</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chart below identifies the Excess and Surplus Lines segment’s divisions and sets forth the amount of gross written premiums by each division.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20" w:type="dxa"/>
            <w:vAlign w:val="bottom"/>
            <w:tcBorders>
              <w:top w:val="single" w:sz="8" w:color="auto"/>
            </w:tcBorders>
            <w:gridSpan w:val="5"/>
          </w:tcPr>
          <w:p>
            <w:pPr>
              <w:jc w:val="center"/>
              <w:ind w:right="440"/>
              <w:spacing w:after="0" w:line="150" w:lineRule="exact"/>
              <w:rPr>
                <w:sz w:val="20"/>
                <w:szCs w:val="20"/>
                <w:color w:val="auto"/>
              </w:rPr>
            </w:pPr>
            <w:r>
              <w:rPr>
                <w:rFonts w:ascii="Times New Roman" w:cs="Times New Roman" w:eastAsia="Times New Roman" w:hAnsi="Times New Roman"/>
                <w:sz w:val="14"/>
                <w:szCs w:val="14"/>
                <w:b w:val="1"/>
                <w:bCs w:val="1"/>
                <w:color w:val="auto"/>
              </w:rPr>
              <w:t>Gross Written Premiums</w:t>
            </w: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100"/>
              <w:spacing w:after="0" w:line="136"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E&amp;S Division</w:t>
            </w:r>
          </w:p>
        </w:tc>
        <w:tc>
          <w:tcPr>
            <w:tcW w:w="300" w:type="dxa"/>
            <w:vAlign w:val="bottom"/>
          </w:tcPr>
          <w:p>
            <w:pPr>
              <w:spacing w:after="0"/>
              <w:rPr>
                <w:sz w:val="12"/>
                <w:szCs w:val="12"/>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280" w:type="dxa"/>
            <w:vAlign w:val="bottom"/>
          </w:tcPr>
          <w:p>
            <w:pPr>
              <w:spacing w:after="0"/>
              <w:rPr>
                <w:sz w:val="12"/>
                <w:szCs w:val="12"/>
                <w:color w:val="auto"/>
              </w:rPr>
            </w:pPr>
          </w:p>
        </w:tc>
        <w:tc>
          <w:tcPr>
            <w:tcW w:w="98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5"/>
        </w:trPr>
        <w:tc>
          <w:tcPr>
            <w:tcW w:w="29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center"/>
              <w:ind w:left="41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Casualty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325,017</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339,870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310,383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285,082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213,037</w:t>
            </w:r>
          </w:p>
        </w:tc>
        <w:tc>
          <w:tcPr>
            <w:tcW w:w="0" w:type="dxa"/>
            <w:vAlign w:val="bottom"/>
          </w:tcPr>
          <w:p>
            <w:pPr>
              <w:spacing w:after="0"/>
              <w:rPr>
                <w:sz w:val="1"/>
                <w:szCs w:val="1"/>
                <w:color w:val="auto"/>
              </w:rPr>
            </w:pPr>
          </w:p>
        </w:tc>
      </w:tr>
      <w:tr>
        <w:trPr>
          <w:trHeight w:val="228"/>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Casualty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237,632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125,433</w:t>
            </w:r>
          </w:p>
        </w:tc>
        <w:tc>
          <w:tcPr>
            <w:tcW w:w="0" w:type="dxa"/>
            <w:vAlign w:val="bottom"/>
          </w:tcPr>
          <w:p>
            <w:pPr>
              <w:spacing w:after="0"/>
              <w:rPr>
                <w:sz w:val="1"/>
                <w:szCs w:val="1"/>
                <w:color w:val="auto"/>
              </w:rPr>
            </w:pPr>
          </w:p>
        </w:tc>
      </w:tr>
      <w:tr>
        <w:trPr>
          <w:trHeight w:val="228"/>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Manufacturers and Contractors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176,494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122,880</w:t>
            </w:r>
          </w:p>
        </w:tc>
        <w:tc>
          <w:tcPr>
            <w:tcW w:w="0" w:type="dxa"/>
            <w:vAlign w:val="bottom"/>
          </w:tcPr>
          <w:p>
            <w:pPr>
              <w:spacing w:after="0"/>
              <w:rPr>
                <w:sz w:val="1"/>
                <w:szCs w:val="1"/>
                <w:color w:val="auto"/>
              </w:rPr>
            </w:pPr>
          </w:p>
        </w:tc>
      </w:tr>
      <w:tr>
        <w:trPr>
          <w:trHeight w:val="228"/>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Excess Property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37,332</w:t>
            </w:r>
          </w:p>
        </w:tc>
        <w:tc>
          <w:tcPr>
            <w:tcW w:w="0" w:type="dxa"/>
            <w:vAlign w:val="bottom"/>
          </w:tcPr>
          <w:p>
            <w:pPr>
              <w:spacing w:after="0"/>
              <w:rPr>
                <w:sz w:val="1"/>
                <w:szCs w:val="1"/>
                <w:color w:val="auto"/>
              </w:rPr>
            </w:pPr>
          </w:p>
        </w:tc>
      </w:tr>
      <w:tr>
        <w:trPr>
          <w:trHeight w:val="228"/>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51,109</w:t>
            </w:r>
          </w:p>
        </w:tc>
        <w:tc>
          <w:tcPr>
            <w:tcW w:w="0" w:type="dxa"/>
            <w:vAlign w:val="bottom"/>
          </w:tcPr>
          <w:p>
            <w:pPr>
              <w:spacing w:after="0"/>
              <w:rPr>
                <w:sz w:val="1"/>
                <w:szCs w:val="1"/>
                <w:color w:val="auto"/>
              </w:rPr>
            </w:pPr>
          </w:p>
        </w:tc>
      </w:tr>
      <w:tr>
        <w:trPr>
          <w:trHeight w:val="228"/>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Small Business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24,790</w:t>
            </w:r>
          </w:p>
        </w:tc>
        <w:tc>
          <w:tcPr>
            <w:tcW w:w="0" w:type="dxa"/>
            <w:vAlign w:val="bottom"/>
          </w:tcPr>
          <w:p>
            <w:pPr>
              <w:spacing w:after="0"/>
              <w:rPr>
                <w:sz w:val="1"/>
                <w:szCs w:val="1"/>
                <w:color w:val="auto"/>
              </w:rPr>
            </w:pPr>
          </w:p>
        </w:tc>
      </w:tr>
      <w:tr>
        <w:trPr>
          <w:trHeight w:val="228"/>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Allied Health</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26,918</w:t>
            </w:r>
          </w:p>
        </w:tc>
        <w:tc>
          <w:tcPr>
            <w:tcW w:w="0" w:type="dxa"/>
            <w:vAlign w:val="bottom"/>
          </w:tcPr>
          <w:p>
            <w:pPr>
              <w:spacing w:after="0"/>
              <w:rPr>
                <w:sz w:val="1"/>
                <w:szCs w:val="1"/>
                <w:color w:val="auto"/>
              </w:rPr>
            </w:pPr>
          </w:p>
        </w:tc>
      </w:tr>
      <w:tr>
        <w:trPr>
          <w:trHeight w:val="228"/>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Auto</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30,029</w:t>
            </w:r>
          </w:p>
        </w:tc>
        <w:tc>
          <w:tcPr>
            <w:tcW w:w="0" w:type="dxa"/>
            <w:vAlign w:val="bottom"/>
          </w:tcPr>
          <w:p>
            <w:pPr>
              <w:spacing w:after="0"/>
              <w:rPr>
                <w:sz w:val="1"/>
                <w:szCs w:val="1"/>
                <w:color w:val="auto"/>
              </w:rPr>
            </w:pPr>
          </w:p>
        </w:tc>
      </w:tr>
      <w:tr>
        <w:trPr>
          <w:trHeight w:val="228"/>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Life Sciences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35,163</w:t>
            </w:r>
          </w:p>
        </w:tc>
        <w:tc>
          <w:tcPr>
            <w:tcW w:w="0" w:type="dxa"/>
            <w:vAlign w:val="bottom"/>
          </w:tcPr>
          <w:p>
            <w:pPr>
              <w:spacing w:after="0"/>
              <w:rPr>
                <w:sz w:val="1"/>
                <w:szCs w:val="1"/>
                <w:color w:val="auto"/>
              </w:rPr>
            </w:pPr>
          </w:p>
        </w:tc>
      </w:tr>
      <w:tr>
        <w:trPr>
          <w:trHeight w:val="228"/>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Sports and Entertainment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0" w:type="dxa"/>
            <w:vAlign w:val="bottom"/>
          </w:tcPr>
          <w:p>
            <w:pPr>
              <w:spacing w:after="0"/>
              <w:rPr>
                <w:sz w:val="1"/>
                <w:szCs w:val="1"/>
                <w:color w:val="auto"/>
              </w:rPr>
            </w:pPr>
          </w:p>
        </w:tc>
      </w:tr>
      <w:tr>
        <w:trPr>
          <w:trHeight w:val="242"/>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20,096</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17,753</w:t>
            </w:r>
          </w:p>
        </w:tc>
        <w:tc>
          <w:tcPr>
            <w:tcW w:w="0" w:type="dxa"/>
            <w:vAlign w:val="bottom"/>
          </w:tcPr>
          <w:p>
            <w:pPr>
              <w:spacing w:after="0"/>
              <w:rPr>
                <w:sz w:val="1"/>
                <w:szCs w:val="1"/>
                <w:color w:val="auto"/>
              </w:rPr>
            </w:pPr>
          </w:p>
        </w:tc>
      </w:tr>
      <w:tr>
        <w:trPr>
          <w:trHeight w:val="228"/>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Professional Liability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0" w:type="dxa"/>
            <w:vAlign w:val="bottom"/>
          </w:tcPr>
          <w:p>
            <w:pPr>
              <w:spacing w:after="0"/>
              <w:rPr>
                <w:sz w:val="1"/>
                <w:szCs w:val="1"/>
                <w:color w:val="auto"/>
              </w:rPr>
            </w:pPr>
          </w:p>
        </w:tc>
      </w:tr>
      <w:tr>
        <w:trPr>
          <w:trHeight w:val="228"/>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Professionals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28"/>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Management Liability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699,143</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right="140" w:firstLine="323"/>
        <w:spacing w:after="0" w:line="259" w:lineRule="auto"/>
        <w:rPr>
          <w:sz w:val="20"/>
          <w:szCs w:val="20"/>
          <w:color w:val="auto"/>
        </w:rPr>
      </w:pPr>
      <w:r>
        <w:rPr>
          <w:rFonts w:ascii="Times New Roman" w:cs="Times New Roman" w:eastAsia="Times New Roman" w:hAnsi="Times New Roman"/>
          <w:sz w:val="18"/>
          <w:szCs w:val="18"/>
          <w:color w:val="auto"/>
        </w:rPr>
        <w:t>Excess Casualty underwrites excess liability coverage for a variety of risk classes including manufacturers, contractors, distributors and transportation risks. We write excess liability coverage above our own primary policies, as well as policies issued by third parties. When we write above others’ policies, we are selective regarding underlying carriers, focusing on the nature of the business, the financial strength of the carrier, their pricing and their claims handling capabilities.</w:t>
      </w:r>
    </w:p>
    <w:p>
      <w:pPr>
        <w:spacing w:after="0" w:line="74" w:lineRule="exact"/>
        <w:rPr>
          <w:sz w:val="20"/>
          <w:szCs w:val="20"/>
          <w:color w:val="auto"/>
        </w:rPr>
      </w:pPr>
    </w:p>
    <w:p>
      <w:pPr>
        <w:ind w:right="220" w:firstLine="323"/>
        <w:spacing w:after="0" w:line="280" w:lineRule="auto"/>
        <w:rPr>
          <w:sz w:val="20"/>
          <w:szCs w:val="20"/>
          <w:color w:val="auto"/>
        </w:rPr>
      </w:pPr>
      <w:r>
        <w:rPr>
          <w:rFonts w:ascii="Times New Roman" w:cs="Times New Roman" w:eastAsia="Times New Roman" w:hAnsi="Times New Roman"/>
          <w:sz w:val="18"/>
          <w:szCs w:val="18"/>
          <w:color w:val="auto"/>
        </w:rPr>
        <w:t>General Casualty writes primary liability coverage on businesses exposed to premises liability type claims including real estate, mercantile and retail operations, apartments and condominiums, hotels and motels, restaurants, bars, taverns and schools.</w:t>
      </w:r>
    </w:p>
    <w:p>
      <w:pPr>
        <w:spacing w:after="0" w:line="55"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Manufacturers and Contractors writes primary general liability coverage for a variety of classes, including manufacturers of consumer, commercial, and industrial products and general and trade contractors.</w:t>
      </w:r>
    </w:p>
    <w:p>
      <w:pPr>
        <w:spacing w:after="0" w:line="55" w:lineRule="exact"/>
        <w:rPr>
          <w:sz w:val="20"/>
          <w:szCs w:val="20"/>
          <w:color w:val="auto"/>
        </w:rPr>
      </w:pPr>
    </w:p>
    <w:p>
      <w:pPr>
        <w:ind w:right="60" w:firstLine="323"/>
        <w:spacing w:after="0" w:line="280" w:lineRule="auto"/>
        <w:rPr>
          <w:sz w:val="20"/>
          <w:szCs w:val="20"/>
          <w:color w:val="auto"/>
        </w:rPr>
      </w:pPr>
      <w:r>
        <w:rPr>
          <w:rFonts w:ascii="Times New Roman" w:cs="Times New Roman" w:eastAsia="Times New Roman" w:hAnsi="Times New Roman"/>
          <w:sz w:val="18"/>
          <w:szCs w:val="18"/>
          <w:color w:val="auto"/>
        </w:rPr>
        <w:t>Excess Property writes property risks providing limits in various layers above the primary coverage layer for a variety of classes, including apartments, condominiums, resorts, shopping centers, offices and general commercial properties.</w:t>
      </w:r>
    </w:p>
    <w:p>
      <w:pPr>
        <w:spacing w:after="0" w:line="55" w:lineRule="exact"/>
        <w:rPr>
          <w:sz w:val="20"/>
          <w:szCs w:val="20"/>
          <w:color w:val="auto"/>
        </w:rPr>
      </w:pPr>
    </w:p>
    <w:p>
      <w:pPr>
        <w:jc w:val="both"/>
        <w:ind w:right="20" w:firstLine="323"/>
        <w:spacing w:after="0" w:line="259" w:lineRule="auto"/>
        <w:rPr>
          <w:sz w:val="20"/>
          <w:szCs w:val="20"/>
          <w:color w:val="auto"/>
        </w:rPr>
      </w:pPr>
      <w:r>
        <w:rPr>
          <w:rFonts w:ascii="Times New Roman" w:cs="Times New Roman" w:eastAsia="Times New Roman" w:hAnsi="Times New Roman"/>
          <w:sz w:val="18"/>
          <w:szCs w:val="18"/>
          <w:color w:val="auto"/>
        </w:rPr>
        <w:t>Energy writes risks engaged in the business of energy production, distribution or mining, and the manufacture of equipment used in the energy business segment. Examples of classes underwritten by this division include oil and gas exploration companies, oil or gas well drillers, oilfield consultants, oil or gas lease operators, oil well servicing companies, oil or gas pipeline construction companies, fireworks manufacturing, mining-related risks, utilities, and utility contractors.</w:t>
      </w:r>
    </w:p>
    <w:p>
      <w:pPr>
        <w:spacing w:after="0" w:line="74" w:lineRule="exact"/>
        <w:rPr>
          <w:sz w:val="20"/>
          <w:szCs w:val="20"/>
          <w:color w:val="auto"/>
        </w:rPr>
      </w:pPr>
    </w:p>
    <w:p>
      <w:pPr>
        <w:ind w:right="220" w:firstLine="323"/>
        <w:spacing w:after="0" w:line="264" w:lineRule="auto"/>
        <w:rPr>
          <w:sz w:val="20"/>
          <w:szCs w:val="20"/>
          <w:color w:val="auto"/>
        </w:rPr>
      </w:pPr>
      <w:r>
        <w:rPr>
          <w:rFonts w:ascii="Times New Roman" w:cs="Times New Roman" w:eastAsia="Times New Roman" w:hAnsi="Times New Roman"/>
          <w:sz w:val="18"/>
          <w:szCs w:val="18"/>
          <w:color w:val="auto"/>
        </w:rPr>
        <w:t>Small Business includes both brokerage and delegated authority contract binding focusing on accounts with annual primary liability insurance premiums of less than $20,000 and more typically below $10,000. For these smaller risks, we limit flexibility in coverage options and pricing to facilitate quick turnaround and efficient processing.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40" w:firstLine="323"/>
        <w:spacing w:after="0" w:line="280" w:lineRule="auto"/>
        <w:rPr>
          <w:sz w:val="20"/>
          <w:szCs w:val="20"/>
          <w:color w:val="auto"/>
        </w:rPr>
      </w:pPr>
      <w:r>
        <w:rPr>
          <w:rFonts w:ascii="Times New Roman" w:cs="Times New Roman" w:eastAsia="Times New Roman" w:hAnsi="Times New Roman"/>
          <w:sz w:val="18"/>
          <w:szCs w:val="18"/>
          <w:color w:val="auto"/>
        </w:rPr>
        <w:t>Allied Health underwrites casualty insurance for allied health and social service types of risks, such as long-term care facilities, independent living apartments, group homes, half-way houses and shelters, drug rehabilitation, home health care and medical staffing enterprises.</w:t>
      </w:r>
    </w:p>
    <w:p>
      <w:pPr>
        <w:spacing w:after="0" w:line="55" w:lineRule="exact"/>
        <w:rPr>
          <w:sz w:val="20"/>
          <w:szCs w:val="20"/>
          <w:color w:val="auto"/>
        </w:rPr>
      </w:pPr>
    </w:p>
    <w:p>
      <w:pPr>
        <w:ind w:right="300" w:firstLine="323"/>
        <w:spacing w:after="0" w:line="280" w:lineRule="auto"/>
        <w:rPr>
          <w:sz w:val="20"/>
          <w:szCs w:val="20"/>
          <w:color w:val="auto"/>
        </w:rPr>
      </w:pPr>
      <w:r>
        <w:rPr>
          <w:rFonts w:ascii="Times New Roman" w:cs="Times New Roman" w:eastAsia="Times New Roman" w:hAnsi="Times New Roman"/>
          <w:sz w:val="18"/>
          <w:szCs w:val="18"/>
          <w:color w:val="auto"/>
        </w:rPr>
        <w:t>Commercial Auto underwrites primarily the hired and non-owned auto liability exposures for a variety of industry segments including package and food delivery services.</w:t>
      </w:r>
    </w:p>
    <w:p>
      <w:pPr>
        <w:spacing w:after="0" w:line="55" w:lineRule="exact"/>
        <w:rPr>
          <w:sz w:val="20"/>
          <w:szCs w:val="20"/>
          <w:color w:val="auto"/>
        </w:rPr>
      </w:pPr>
    </w:p>
    <w:p>
      <w:pPr>
        <w:ind w:right="100" w:firstLine="323"/>
        <w:spacing w:after="0" w:line="259" w:lineRule="auto"/>
        <w:rPr>
          <w:sz w:val="20"/>
          <w:szCs w:val="20"/>
          <w:color w:val="auto"/>
        </w:rPr>
      </w:pPr>
      <w:r>
        <w:rPr>
          <w:rFonts w:ascii="Times New Roman" w:cs="Times New Roman" w:eastAsia="Times New Roman" w:hAnsi="Times New Roman"/>
          <w:sz w:val="18"/>
          <w:szCs w:val="18"/>
          <w:color w:val="auto"/>
        </w:rPr>
        <w:t>Life Sciences underwrites general liability, products liability and/or professional liability coverage for manufacturers, distributors and developers of biologics (antibodies &amp; vaccines used for the prevention of disease), nutraceuticals (health, nutrition and herbal supplements), human clinical trials, pharmaceuticals (mainly generics and over-the-counters) and medical devices. This division also writes a book of various types of business engaged in the medical and adult-use cannabis industry.</w:t>
      </w:r>
    </w:p>
    <w:p>
      <w:pPr>
        <w:spacing w:after="0" w:line="74" w:lineRule="exact"/>
        <w:rPr>
          <w:sz w:val="20"/>
          <w:szCs w:val="20"/>
          <w:color w:val="auto"/>
        </w:rPr>
      </w:pPr>
    </w:p>
    <w:p>
      <w:pPr>
        <w:ind w:right="80" w:firstLine="323"/>
        <w:spacing w:after="0" w:line="280" w:lineRule="auto"/>
        <w:rPr>
          <w:sz w:val="20"/>
          <w:szCs w:val="20"/>
          <w:color w:val="auto"/>
        </w:rPr>
      </w:pPr>
      <w:r>
        <w:rPr>
          <w:rFonts w:ascii="Times New Roman" w:cs="Times New Roman" w:eastAsia="Times New Roman" w:hAnsi="Times New Roman"/>
          <w:sz w:val="18"/>
          <w:szCs w:val="18"/>
          <w:color w:val="auto"/>
        </w:rPr>
        <w:t>Sports and Entertainment underwrites primary liability coverage for sports, recreation and entertainment related risks, including special events, family entertainment centers, tourist attractions, health clubs, sports complexes and other sport and event venues.</w:t>
      </w:r>
    </w:p>
    <w:p>
      <w:pPr>
        <w:spacing w:after="0" w:line="55" w:lineRule="exact"/>
        <w:rPr>
          <w:sz w:val="20"/>
          <w:szCs w:val="20"/>
          <w:color w:val="auto"/>
        </w:rPr>
      </w:pPr>
    </w:p>
    <w:p>
      <w:pPr>
        <w:ind w:right="100" w:firstLine="323"/>
        <w:spacing w:after="0" w:line="264" w:lineRule="auto"/>
        <w:rPr>
          <w:sz w:val="20"/>
          <w:szCs w:val="20"/>
          <w:color w:val="auto"/>
        </w:rPr>
      </w:pPr>
      <w:r>
        <w:rPr>
          <w:rFonts w:ascii="Times New Roman" w:cs="Times New Roman" w:eastAsia="Times New Roman" w:hAnsi="Times New Roman"/>
          <w:sz w:val="18"/>
          <w:szCs w:val="18"/>
          <w:color w:val="auto"/>
        </w:rPr>
        <w:t>Environmental underwrites contractors’ pollution liability, products pollution liability, site specific pollution liability and consultant’s professional liability coverage on a stand-alone basis and in conjunction with the general liability coverage. Typically, we write environmental coverage for contractors who are not engaged in environmental remediation work on an occurrence form.</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Professional Liability writes professional liability coverage for accountants, architects, engineers, lawyers and certain other professions.</w:t>
      </w:r>
    </w:p>
    <w:p>
      <w:pPr>
        <w:spacing w:after="0" w:line="115" w:lineRule="exact"/>
        <w:rPr>
          <w:sz w:val="20"/>
          <w:szCs w:val="20"/>
          <w:color w:val="auto"/>
        </w:rPr>
      </w:pPr>
    </w:p>
    <w:p>
      <w:pPr>
        <w:ind w:right="160" w:firstLine="323"/>
        <w:spacing w:after="0" w:line="280" w:lineRule="auto"/>
        <w:rPr>
          <w:sz w:val="20"/>
          <w:szCs w:val="20"/>
          <w:color w:val="auto"/>
        </w:rPr>
      </w:pPr>
      <w:r>
        <w:rPr>
          <w:rFonts w:ascii="Times New Roman" w:cs="Times New Roman" w:eastAsia="Times New Roman" w:hAnsi="Times New Roman"/>
          <w:sz w:val="18"/>
          <w:szCs w:val="18"/>
          <w:color w:val="auto"/>
        </w:rPr>
        <w:t>Medical Professionals underwrites non-standard physicians’ professional liability for individuals or small groups. Our healthcare business is a mix of both surgical and non-surgical classes.</w:t>
      </w:r>
    </w:p>
    <w:p>
      <w:pPr>
        <w:spacing w:after="0" w:line="55" w:lineRule="exact"/>
        <w:rPr>
          <w:sz w:val="20"/>
          <w:szCs w:val="20"/>
          <w:color w:val="auto"/>
        </w:rPr>
      </w:pPr>
    </w:p>
    <w:p>
      <w:pPr>
        <w:ind w:right="320" w:firstLine="323"/>
        <w:spacing w:after="0" w:line="264" w:lineRule="auto"/>
        <w:rPr>
          <w:sz w:val="20"/>
          <w:szCs w:val="20"/>
          <w:color w:val="auto"/>
        </w:rPr>
      </w:pPr>
      <w:r>
        <w:rPr>
          <w:rFonts w:ascii="Times New Roman" w:cs="Times New Roman" w:eastAsia="Times New Roman" w:hAnsi="Times New Roman"/>
          <w:sz w:val="18"/>
          <w:szCs w:val="18"/>
          <w:color w:val="auto"/>
        </w:rPr>
        <w:t>Management Liability, a new underwriting division in 2023, writes excess management liability coverage inclusive of directors &amp; officers liability, employment practices liability, and fiduciary liability. The division underwrites a wide range of industries except for financial institutions and cryptocurrency firms. We write publicly traded risks, privately held risks and not-for-profit risks.</w:t>
      </w:r>
    </w:p>
    <w:p>
      <w:pPr>
        <w:spacing w:after="0" w:line="69" w:lineRule="exact"/>
        <w:rPr>
          <w:sz w:val="20"/>
          <w:szCs w:val="20"/>
          <w:color w:val="auto"/>
        </w:rPr>
      </w:pPr>
    </w:p>
    <w:p>
      <w:pPr>
        <w:ind w:firstLine="323"/>
        <w:spacing w:after="0" w:line="253" w:lineRule="auto"/>
        <w:rPr>
          <w:sz w:val="20"/>
          <w:szCs w:val="20"/>
          <w:color w:val="auto"/>
        </w:rPr>
      </w:pPr>
      <w:r>
        <w:rPr>
          <w:rFonts w:ascii="Times New Roman" w:cs="Times New Roman" w:eastAsia="Times New Roman" w:hAnsi="Times New Roman"/>
          <w:sz w:val="18"/>
          <w:szCs w:val="18"/>
          <w:color w:val="auto"/>
        </w:rPr>
        <w:t>The General Casualty, Manufacturers and Contractors, Small Business, Commercial Auto, and Sports and Entertainment divisions write primary liability coverage at $1.0 million per occurrence limits, of which we retain $690,000 net per occurrence. The Excess Casualty division offers limits up to $10.0 million subject to a maximum of $2.0 million net per occurrence, and the remaining E&amp;S divisions, with the exception of Management Liability, write both primary and excess liability coverage with limits typically between $1.0 million and $5.0 million, retaining between $690,000 and $1.98 million net per occurrence, respectively, but having the ability to offer policy limits up to $11.0 million per occurrence, of which we retain up to $3.2 million net. The Management Liability division also writes both primary and excess liability coverage with policy limits up to $10.0 million per coverage part, of which we retain up to $3.2 million net, but typically writes limits up to $5.0 million, retaining up to $1.8 million net per coverage. Allied Health, Medical Professional and Professional Liability division coverages are issued on a claims made and reported basis.</w:t>
      </w:r>
    </w:p>
    <w:p>
      <w:pPr>
        <w:spacing w:after="0" w:line="82" w:lineRule="exact"/>
        <w:rPr>
          <w:sz w:val="20"/>
          <w:szCs w:val="20"/>
          <w:color w:val="auto"/>
        </w:rPr>
      </w:pPr>
    </w:p>
    <w:p>
      <w:pPr>
        <w:jc w:val="both"/>
        <w:ind w:right="100" w:firstLine="323"/>
        <w:spacing w:after="0" w:line="259" w:lineRule="auto"/>
        <w:rPr>
          <w:sz w:val="20"/>
          <w:szCs w:val="20"/>
          <w:color w:val="auto"/>
        </w:rPr>
      </w:pPr>
      <w:r>
        <w:rPr>
          <w:rFonts w:ascii="Times New Roman" w:cs="Times New Roman" w:eastAsia="Times New Roman" w:hAnsi="Times New Roman"/>
          <w:sz w:val="18"/>
          <w:szCs w:val="18"/>
          <w:color w:val="auto"/>
        </w:rPr>
        <w:t>Excess Property writes shared and layered limits property risks providing limits in various layers above another carrier’s primary coverage layer for a variety of commercial line classes including apartments, condominiums, resorts, shopping centers, offices and general commercial properties. Typical per risk limits offered range from $5.0 million to $30.0 million on a gross basis, and a maximum of $5.0 million on a net of reinsurance basis. The average net per risk limit is approximately $678,000 as of December 31, 2024. We retain up to the first $5.0 million in any one event or catastrophe.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firstLine="323"/>
        <w:spacing w:after="0" w:line="259" w:lineRule="auto"/>
        <w:rPr>
          <w:sz w:val="20"/>
          <w:szCs w:val="20"/>
          <w:color w:val="auto"/>
        </w:rPr>
      </w:pPr>
      <w:r>
        <w:rPr>
          <w:rFonts w:ascii="Times New Roman" w:cs="Times New Roman" w:eastAsia="Times New Roman" w:hAnsi="Times New Roman"/>
          <w:sz w:val="18"/>
          <w:szCs w:val="18"/>
          <w:color w:val="auto"/>
        </w:rPr>
        <w:t>The following table identifies the top producing states by amount of gross written premium for our Excess and Surplus Lines segment for the year ended December 31, 2024 and the amount of gross written premium produced by such states for the years ended December 31, 2023, 2022, 2021 and 2020. The table also shows the percentage of each states’ gross written premium to total gross written premium in the Excess and Surplus Lines segment for the years ended December 31, 2024, 2023 and 2022.</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gridSpan w:val="3"/>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gridSpan w:val="3"/>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gridSpan w:val="3"/>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5"/>
        </w:trPr>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13"/>
              <w:spacing w:after="0" w:line="130"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860" w:type="dxa"/>
            <w:vAlign w:val="bottom"/>
          </w:tcPr>
          <w:p>
            <w:pPr>
              <w:jc w:val="center"/>
              <w:ind w:right="33"/>
              <w:spacing w:after="0" w:line="130"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1"/>
                <w:szCs w:val="11"/>
                <w:color w:val="auto"/>
              </w:rPr>
            </w:pPr>
          </w:p>
        </w:tc>
        <w:tc>
          <w:tcPr>
            <w:tcW w:w="840" w:type="dxa"/>
            <w:vAlign w:val="bottom"/>
          </w:tcPr>
          <w:p>
            <w:pPr>
              <w:jc w:val="center"/>
              <w:ind w:right="13"/>
              <w:spacing w:after="0" w:line="130"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1"/>
                <w:szCs w:val="11"/>
                <w:color w:val="auto"/>
              </w:rPr>
            </w:pPr>
          </w:p>
        </w:tc>
        <w:tc>
          <w:tcPr>
            <w:tcW w:w="900" w:type="dxa"/>
            <w:vAlign w:val="bottom"/>
          </w:tcPr>
          <w:p>
            <w:pPr>
              <w:jc w:val="center"/>
              <w:ind w:right="94"/>
              <w:spacing w:after="0" w:line="130"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54"/>
              <w:spacing w:after="0" w:line="130"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6"/>
        </w:trPr>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60" w:type="dxa"/>
            <w:vAlign w:val="bottom"/>
          </w:tcPr>
          <w:p>
            <w:pPr>
              <w:spacing w:after="0"/>
              <w:rPr>
                <w:sz w:val="12"/>
                <w:szCs w:val="12"/>
                <w:color w:val="auto"/>
              </w:rPr>
            </w:pPr>
          </w:p>
        </w:tc>
        <w:tc>
          <w:tcPr>
            <w:tcW w:w="860" w:type="dxa"/>
            <w:vAlign w:val="bottom"/>
          </w:tcPr>
          <w:p>
            <w:pPr>
              <w:jc w:val="center"/>
              <w:ind w:right="13"/>
              <w:spacing w:after="0" w:line="146" w:lineRule="exact"/>
              <w:rPr>
                <w:sz w:val="20"/>
                <w:szCs w:val="20"/>
                <w:color w:val="auto"/>
              </w:rPr>
            </w:pPr>
            <w:r>
              <w:rPr>
                <w:rFonts w:ascii="Times New Roman" w:cs="Times New Roman" w:eastAsia="Times New Roman" w:hAnsi="Times New Roman"/>
                <w:sz w:val="14"/>
                <w:szCs w:val="14"/>
                <w:b w:val="1"/>
                <w:bCs w:val="1"/>
                <w:color w:val="auto"/>
              </w:rPr>
              <w:t>Written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33"/>
              <w:spacing w:after="0" w:line="146" w:lineRule="exact"/>
              <w:rPr>
                <w:sz w:val="20"/>
                <w:szCs w:val="20"/>
                <w:color w:val="auto"/>
              </w:rPr>
            </w:pPr>
            <w:r>
              <w:rPr>
                <w:rFonts w:ascii="Times New Roman" w:cs="Times New Roman" w:eastAsia="Times New Roman" w:hAnsi="Times New Roman"/>
                <w:sz w:val="14"/>
                <w:szCs w:val="14"/>
                <w:b w:val="1"/>
                <w:bCs w:val="1"/>
                <w:color w:val="auto"/>
              </w:rPr>
              <w:t>Written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33"/>
              <w:spacing w:after="0" w:line="146" w:lineRule="exact"/>
              <w:rPr>
                <w:sz w:val="20"/>
                <w:szCs w:val="20"/>
                <w:color w:val="auto"/>
              </w:rPr>
            </w:pPr>
            <w:r>
              <w:rPr>
                <w:rFonts w:ascii="Times New Roman" w:cs="Times New Roman" w:eastAsia="Times New Roman" w:hAnsi="Times New Roman"/>
                <w:sz w:val="14"/>
                <w:szCs w:val="14"/>
                <w:b w:val="1"/>
                <w:bCs w:val="1"/>
                <w:color w:val="auto"/>
              </w:rPr>
              <w:t>Written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Written</w:t>
            </w:r>
          </w:p>
        </w:tc>
        <w:tc>
          <w:tcPr>
            <w:tcW w:w="160" w:type="dxa"/>
            <w:vAlign w:val="bottom"/>
          </w:tcPr>
          <w:p>
            <w:pPr>
              <w:spacing w:after="0"/>
              <w:rPr>
                <w:sz w:val="12"/>
                <w:szCs w:val="12"/>
                <w:color w:val="auto"/>
              </w:rPr>
            </w:pPr>
          </w:p>
        </w:tc>
        <w:tc>
          <w:tcPr>
            <w:tcW w:w="900" w:type="dxa"/>
            <w:vAlign w:val="bottom"/>
          </w:tcPr>
          <w:p>
            <w:pPr>
              <w:jc w:val="center"/>
              <w:ind w:right="54"/>
              <w:spacing w:after="0" w:line="146" w:lineRule="exact"/>
              <w:rPr>
                <w:sz w:val="20"/>
                <w:szCs w:val="20"/>
                <w:color w:val="auto"/>
              </w:rPr>
            </w:pPr>
            <w:r>
              <w:rPr>
                <w:rFonts w:ascii="Times New Roman" w:cs="Times New Roman" w:eastAsia="Times New Roman" w:hAnsi="Times New Roman"/>
                <w:sz w:val="14"/>
                <w:szCs w:val="14"/>
                <w:b w:val="1"/>
                <w:bCs w:val="1"/>
                <w:color w:val="auto"/>
              </w:rPr>
              <w:t>Written</w:t>
            </w:r>
          </w:p>
        </w:tc>
        <w:tc>
          <w:tcPr>
            <w:tcW w:w="0" w:type="dxa"/>
            <w:vAlign w:val="bottom"/>
          </w:tcPr>
          <w:p>
            <w:pPr>
              <w:spacing w:after="0"/>
              <w:rPr>
                <w:sz w:val="1"/>
                <w:szCs w:val="1"/>
                <w:color w:val="auto"/>
              </w:rPr>
            </w:pPr>
          </w:p>
        </w:tc>
      </w:tr>
      <w:tr>
        <w:trPr>
          <w:trHeight w:val="196"/>
        </w:trPr>
        <w:tc>
          <w:tcPr>
            <w:tcW w:w="15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7"/>
                <w:szCs w:val="17"/>
                <w:color w:val="auto"/>
              </w:rPr>
            </w:pPr>
          </w:p>
        </w:tc>
        <w:tc>
          <w:tcPr>
            <w:tcW w:w="8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7"/>
                <w:szCs w:val="17"/>
                <w:color w:val="auto"/>
              </w:rPr>
            </w:pPr>
          </w:p>
        </w:tc>
        <w:tc>
          <w:tcPr>
            <w:tcW w:w="8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160" w:type="dxa"/>
            <w:vAlign w:val="bottom"/>
          </w:tcPr>
          <w:p>
            <w:pPr>
              <w:spacing w:after="0"/>
              <w:rPr>
                <w:sz w:val="17"/>
                <w:szCs w:val="17"/>
                <w:color w:val="auto"/>
              </w:rPr>
            </w:pPr>
          </w:p>
        </w:tc>
        <w:tc>
          <w:tcPr>
            <w:tcW w:w="9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0" w:type="dxa"/>
            <w:vAlign w:val="bottom"/>
          </w:tcPr>
          <w:p>
            <w:pPr>
              <w:spacing w:after="0"/>
              <w:rPr>
                <w:sz w:val="1"/>
                <w:szCs w:val="1"/>
                <w:color w:val="auto"/>
              </w:rPr>
            </w:pPr>
          </w:p>
        </w:tc>
      </w:tr>
      <w:tr>
        <w:trPr>
          <w:trHeight w:val="228"/>
        </w:trPr>
        <w:tc>
          <w:tcPr>
            <w:tcW w:w="1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184,639</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18.2 %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176,730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17.5 %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161,679</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17.5 %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104,120</w:t>
            </w:r>
          </w:p>
        </w:tc>
        <w:tc>
          <w:tcPr>
            <w:tcW w:w="0" w:type="dxa"/>
            <w:vAlign w:val="bottom"/>
          </w:tcPr>
          <w:p>
            <w:pPr>
              <w:spacing w:after="0"/>
              <w:rPr>
                <w:sz w:val="1"/>
                <w:szCs w:val="1"/>
                <w:color w:val="auto"/>
              </w:rPr>
            </w:pPr>
          </w:p>
        </w:tc>
      </w:tr>
      <w:tr>
        <w:trPr>
          <w:trHeight w:val="228"/>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171,029</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16.8 %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172,114</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17.1 %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157,519</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17.1 %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136,532</w:t>
            </w:r>
          </w:p>
        </w:tc>
        <w:tc>
          <w:tcPr>
            <w:tcW w:w="0" w:type="dxa"/>
            <w:vAlign w:val="bottom"/>
          </w:tcPr>
          <w:p>
            <w:pPr>
              <w:spacing w:after="0"/>
              <w:rPr>
                <w:sz w:val="1"/>
                <w:szCs w:val="1"/>
                <w:color w:val="auto"/>
              </w:rPr>
            </w:pPr>
          </w:p>
        </w:tc>
      </w:tr>
      <w:tr>
        <w:trPr>
          <w:trHeight w:val="228"/>
        </w:trPr>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164,386</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169,919</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146,737</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79,338</w:t>
            </w:r>
          </w:p>
        </w:tc>
        <w:tc>
          <w:tcPr>
            <w:tcW w:w="0" w:type="dxa"/>
            <w:vAlign w:val="bottom"/>
          </w:tcPr>
          <w:p>
            <w:pPr>
              <w:spacing w:after="0"/>
              <w:rPr>
                <w:sz w:val="1"/>
                <w:szCs w:val="1"/>
                <w:color w:val="auto"/>
              </w:rPr>
            </w:pPr>
          </w:p>
        </w:tc>
      </w:tr>
      <w:tr>
        <w:trPr>
          <w:trHeight w:val="228"/>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151,768</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14.9 %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126,326</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12.5 %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112,189</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12.2 %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108,778</w:t>
            </w:r>
          </w:p>
        </w:tc>
        <w:tc>
          <w:tcPr>
            <w:tcW w:w="0" w:type="dxa"/>
            <w:vAlign w:val="bottom"/>
          </w:tcPr>
          <w:p>
            <w:pPr>
              <w:spacing w:after="0"/>
              <w:rPr>
                <w:sz w:val="1"/>
                <w:szCs w:val="1"/>
                <w:color w:val="auto"/>
              </w:rPr>
            </w:pPr>
          </w:p>
        </w:tc>
      </w:tr>
      <w:tr>
        <w:trPr>
          <w:trHeight w:val="228"/>
        </w:trPr>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24,190</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25,871</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23,383</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0" w:type="dxa"/>
            <w:vAlign w:val="bottom"/>
          </w:tcPr>
          <w:p>
            <w:pPr>
              <w:spacing w:after="0"/>
              <w:rPr>
                <w:sz w:val="1"/>
                <w:szCs w:val="1"/>
                <w:color w:val="auto"/>
              </w:rPr>
            </w:pPr>
          </w:p>
        </w:tc>
      </w:tr>
      <w:tr>
        <w:trPr>
          <w:trHeight w:val="228"/>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23,104</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22,618</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2.5 %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16,407</w:t>
            </w:r>
          </w:p>
        </w:tc>
        <w:tc>
          <w:tcPr>
            <w:tcW w:w="0" w:type="dxa"/>
            <w:vAlign w:val="bottom"/>
          </w:tcPr>
          <w:p>
            <w:pPr>
              <w:spacing w:after="0"/>
              <w:rPr>
                <w:sz w:val="1"/>
                <w:szCs w:val="1"/>
                <w:color w:val="auto"/>
              </w:rPr>
            </w:pPr>
          </w:p>
        </w:tc>
      </w:tr>
      <w:tr>
        <w:trPr>
          <w:trHeight w:val="228"/>
        </w:trPr>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21,796</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21,399</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17,526</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16,243</w:t>
            </w:r>
          </w:p>
        </w:tc>
        <w:tc>
          <w:tcPr>
            <w:tcW w:w="0" w:type="dxa"/>
            <w:vAlign w:val="bottom"/>
          </w:tcPr>
          <w:p>
            <w:pPr>
              <w:spacing w:after="0"/>
              <w:rPr>
                <w:sz w:val="1"/>
                <w:szCs w:val="1"/>
                <w:color w:val="auto"/>
              </w:rPr>
            </w:pPr>
          </w:p>
        </w:tc>
      </w:tr>
      <w:tr>
        <w:trPr>
          <w:trHeight w:val="228"/>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20,111</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2.0 %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22,434</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2.2 %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20,972</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12,782</w:t>
            </w:r>
          </w:p>
        </w:tc>
        <w:tc>
          <w:tcPr>
            <w:tcW w:w="0" w:type="dxa"/>
            <w:vAlign w:val="bottom"/>
          </w:tcPr>
          <w:p>
            <w:pPr>
              <w:spacing w:after="0"/>
              <w:rPr>
                <w:sz w:val="1"/>
                <w:szCs w:val="1"/>
                <w:color w:val="auto"/>
              </w:rPr>
            </w:pPr>
          </w:p>
        </w:tc>
      </w:tr>
      <w:tr>
        <w:trPr>
          <w:trHeight w:val="228"/>
        </w:trPr>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19,075</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22,205</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18,636</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0" w:type="dxa"/>
            <w:vAlign w:val="bottom"/>
          </w:tcPr>
          <w:p>
            <w:pPr>
              <w:spacing w:after="0"/>
              <w:rPr>
                <w:sz w:val="1"/>
                <w:szCs w:val="1"/>
                <w:color w:val="auto"/>
              </w:rPr>
            </w:pPr>
          </w:p>
        </w:tc>
      </w:tr>
      <w:tr>
        <w:trPr>
          <w:trHeight w:val="228"/>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Louisiana</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16,054</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1.6 %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17,161</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1.9 %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13,968</w:t>
            </w:r>
          </w:p>
        </w:tc>
        <w:tc>
          <w:tcPr>
            <w:tcW w:w="0" w:type="dxa"/>
            <w:vAlign w:val="bottom"/>
          </w:tcPr>
          <w:p>
            <w:pPr>
              <w:spacing w:after="0"/>
              <w:rPr>
                <w:sz w:val="1"/>
                <w:szCs w:val="1"/>
                <w:color w:val="auto"/>
              </w:rPr>
            </w:pPr>
          </w:p>
        </w:tc>
      </w:tr>
      <w:tr>
        <w:trPr>
          <w:trHeight w:val="228"/>
        </w:trPr>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15,110</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17,794</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23,548</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0" w:type="dxa"/>
            <w:vAlign w:val="bottom"/>
          </w:tcPr>
          <w:p>
            <w:pPr>
              <w:spacing w:after="0"/>
              <w:rPr>
                <w:sz w:val="1"/>
                <w:szCs w:val="1"/>
                <w:color w:val="auto"/>
              </w:rPr>
            </w:pPr>
          </w:p>
        </w:tc>
      </w:tr>
      <w:tr>
        <w:trPr>
          <w:trHeight w:val="228"/>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0" w:type="dxa"/>
            <w:vAlign w:val="bottom"/>
          </w:tcPr>
          <w:p>
            <w:pPr>
              <w:spacing w:after="0"/>
              <w:rPr>
                <w:sz w:val="1"/>
                <w:szCs w:val="1"/>
                <w:color w:val="auto"/>
              </w:rPr>
            </w:pPr>
          </w:p>
        </w:tc>
      </w:tr>
      <w:tr>
        <w:trPr>
          <w:trHeight w:val="228"/>
        </w:trPr>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0" w:type="dxa"/>
            <w:vAlign w:val="bottom"/>
          </w:tcPr>
          <w:p>
            <w:pPr>
              <w:spacing w:after="0"/>
              <w:rPr>
                <w:sz w:val="1"/>
                <w:szCs w:val="1"/>
                <w:color w:val="auto"/>
              </w:rPr>
            </w:pPr>
          </w:p>
        </w:tc>
      </w:tr>
      <w:tr>
        <w:trPr>
          <w:trHeight w:val="228"/>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0" w:type="dxa"/>
            <w:vAlign w:val="bottom"/>
          </w:tcPr>
          <w:p>
            <w:pPr>
              <w:spacing w:after="0"/>
              <w:rPr>
                <w:sz w:val="1"/>
                <w:szCs w:val="1"/>
                <w:color w:val="auto"/>
              </w:rPr>
            </w:pPr>
          </w:p>
        </w:tc>
      </w:tr>
      <w:tr>
        <w:trPr>
          <w:trHeight w:val="228"/>
        </w:trPr>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w:t>
            </w:r>
          </w:p>
        </w:tc>
        <w:tc>
          <w:tcPr>
            <w:tcW w:w="0" w:type="dxa"/>
            <w:vAlign w:val="bottom"/>
          </w:tcPr>
          <w:p>
            <w:pPr>
              <w:spacing w:after="0"/>
              <w:rPr>
                <w:sz w:val="1"/>
                <w:szCs w:val="1"/>
                <w:color w:val="auto"/>
              </w:rPr>
            </w:pPr>
          </w:p>
        </w:tc>
      </w:tr>
      <w:tr>
        <w:trPr>
          <w:trHeight w:val="228"/>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other states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157,942</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15.4 %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168,700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16.8 %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156,884</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17.1 %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133,376</w:t>
            </w:r>
          </w:p>
        </w:tc>
        <w:tc>
          <w:tcPr>
            <w:tcW w:w="0" w:type="dxa"/>
            <w:vAlign w:val="bottom"/>
          </w:tcPr>
          <w:p>
            <w:pPr>
              <w:spacing w:after="0"/>
              <w:rPr>
                <w:sz w:val="1"/>
                <w:szCs w:val="1"/>
                <w:color w:val="auto"/>
              </w:rPr>
            </w:pPr>
          </w:p>
        </w:tc>
      </w:tr>
      <w:tr>
        <w:trPr>
          <w:trHeight w:val="247"/>
        </w:trPr>
        <w:tc>
          <w:tcPr>
            <w:tcW w:w="1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1,017,029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1,007,351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921,164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699,143</w:t>
            </w: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and Distribution</w:t>
      </w:r>
    </w:p>
    <w:p>
      <w:pPr>
        <w:spacing w:after="0" w:line="117" w:lineRule="exact"/>
        <w:rPr>
          <w:sz w:val="20"/>
          <w:szCs w:val="20"/>
          <w:color w:val="auto"/>
        </w:rPr>
      </w:pPr>
    </w:p>
    <w:p>
      <w:pPr>
        <w:ind w:right="160" w:firstLine="323"/>
        <w:spacing w:after="0" w:line="255" w:lineRule="auto"/>
        <w:rPr>
          <w:sz w:val="20"/>
          <w:szCs w:val="20"/>
          <w:color w:val="auto"/>
        </w:rPr>
      </w:pPr>
      <w:r>
        <w:rPr>
          <w:rFonts w:ascii="Times New Roman" w:cs="Times New Roman" w:eastAsia="Times New Roman" w:hAnsi="Times New Roman"/>
          <w:sz w:val="18"/>
          <w:szCs w:val="18"/>
          <w:color w:val="auto"/>
        </w:rPr>
        <w:t>The Excess and Surplus Lines segment distributes its products through a select group of authorized E&amp;S lines brokers we believe can consistently produce reasonable volumes of quality business. These brokers procure policies for their clients from us as well as from other insurance companies. At December 31, 2024, the segment had authorized close to 100 broker groups to submit applications to us. The Excess and Surplus Lines segment generally makes broker authorizations by brokerage office and underwriting division. The segment does not grant its brokers underwriting or claims authority. The segment does delegate limited authority under several programs underwritten by exclusive general agents as well as a growing but still limited number of general agents underwriting small-account commercial risks through our online contract binding portal.</w:t>
      </w:r>
    </w:p>
    <w:p>
      <w:pPr>
        <w:spacing w:after="0" w:line="78" w:lineRule="exact"/>
        <w:rPr>
          <w:sz w:val="20"/>
          <w:szCs w:val="20"/>
          <w:color w:val="auto"/>
        </w:rPr>
      </w:pPr>
    </w:p>
    <w:p>
      <w:pPr>
        <w:ind w:right="100" w:firstLine="323"/>
        <w:spacing w:after="0" w:line="255" w:lineRule="auto"/>
        <w:rPr>
          <w:sz w:val="20"/>
          <w:szCs w:val="20"/>
          <w:color w:val="auto"/>
        </w:rPr>
      </w:pPr>
      <w:r>
        <w:rPr>
          <w:rFonts w:ascii="Times New Roman" w:cs="Times New Roman" w:eastAsia="Times New Roman" w:hAnsi="Times New Roman"/>
          <w:sz w:val="18"/>
          <w:szCs w:val="18"/>
          <w:color w:val="auto"/>
        </w:rPr>
        <w:t>Our Excess and Surplus Lines segment selects its brokers based upon management’s review of the experience, knowledge and business plan of each broker. While many of our Excess and Surplus Lines segment’s brokers have more than one office, we evaluate each office as if it were a separate entity. Brokers must be able to demonstrate an ability to produce both the quality and quantity of business that we seek. Brokers unable to produce consistently profitable business, or who produce unacceptably low volumes of business, may be terminated. Our Excess and Surplus Lines segment’s underwriters visit brokers regularly to discuss the products that we offer and the needs of the brokers. We believe the personal relationships we foster with individual brokers and our ability to respond to a wide variety of risks placed by these brokers make us an important market for them.</w:t>
      </w:r>
    </w:p>
    <w:p>
      <w:pPr>
        <w:spacing w:after="0" w:line="78" w:lineRule="exact"/>
        <w:rPr>
          <w:sz w:val="20"/>
          <w:szCs w:val="20"/>
          <w:color w:val="auto"/>
        </w:rPr>
      </w:pPr>
    </w:p>
    <w:p>
      <w:pPr>
        <w:ind w:firstLine="323"/>
        <w:spacing w:after="0" w:line="255" w:lineRule="auto"/>
        <w:rPr>
          <w:sz w:val="20"/>
          <w:szCs w:val="20"/>
          <w:color w:val="auto"/>
        </w:rPr>
      </w:pPr>
      <w:r>
        <w:rPr>
          <w:rFonts w:ascii="Times New Roman" w:cs="Times New Roman" w:eastAsia="Times New Roman" w:hAnsi="Times New Roman"/>
          <w:sz w:val="18"/>
          <w:szCs w:val="18"/>
          <w:color w:val="auto"/>
        </w:rPr>
        <w:t>Our Excess and Surplus Lines segment’s three largest brokers produced $724.7 million of gross written premiums for the year ended December 31, 2024, representing approximately 71.3% of the Excess and Surplus Lines segment’s gross written premiums and 50.6% of consolidated gross written premiums from continuing operations for 2024. The three largest brokers produced $345.1 million (Ryan Specialty Group), $245.5 million (Amwins Group), and $134.1 million (Truist Insurance Holdings) of gross written premiums for the year ended December 31, 2024, respectively, representing 24.1%, 17.1%, and 9.4% of consolidated gross written premiums from continuing operations and 33.9%, 24.1%, and 13.2% of the Excess and Surplus Lines segment’s gross written premiums for 2024, respectively.</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2024 and 2023, our Excess and Surplus Lines segment paid an average commission to producers of 17.5% of gross written premiums.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w:t>
      </w:r>
    </w:p>
    <w:p>
      <w:pPr>
        <w:spacing w:after="0" w:line="117" w:lineRule="exact"/>
        <w:rPr>
          <w:sz w:val="20"/>
          <w:szCs w:val="20"/>
          <w:color w:val="auto"/>
        </w:rPr>
      </w:pPr>
    </w:p>
    <w:p>
      <w:pPr>
        <w:ind w:firstLine="323"/>
        <w:spacing w:after="0" w:line="256" w:lineRule="auto"/>
        <w:rPr>
          <w:sz w:val="20"/>
          <w:szCs w:val="20"/>
          <w:color w:val="auto"/>
        </w:rPr>
      </w:pPr>
      <w:r>
        <w:rPr>
          <w:rFonts w:ascii="Times New Roman" w:cs="Times New Roman" w:eastAsia="Times New Roman" w:hAnsi="Times New Roman"/>
          <w:sz w:val="18"/>
          <w:szCs w:val="18"/>
          <w:color w:val="auto"/>
        </w:rPr>
        <w:t>Our Excess and Surplus Lines segment’s staff includes over 200 individuals directly employed in underwriting policies as of December 31, 2024. We are very selective about the policies we bind. Our Excess and Surplus Lines segment binds approximately 3% of new submissions and one out of every four new quotes. If our underwriters cannot reasonably expect to bind coverage at the combination of premiums and coverage that meet our standards, they are encouraged to quickly move on to another prospective opportunity. For the year ended December 31, 2024, we received approximately 327,000 submissions (new and renewal, excluding commercial auto policies), quoted over 62,000 policies, and bound more than 26,000 policies.</w:t>
      </w:r>
    </w:p>
    <w:p>
      <w:pPr>
        <w:spacing w:after="0" w:line="79" w:lineRule="exact"/>
        <w:rPr>
          <w:sz w:val="20"/>
          <w:szCs w:val="20"/>
          <w:color w:val="auto"/>
        </w:rPr>
      </w:pPr>
    </w:p>
    <w:p>
      <w:pPr>
        <w:ind w:right="60" w:firstLine="323"/>
        <w:spacing w:after="0" w:line="259" w:lineRule="auto"/>
        <w:rPr>
          <w:sz w:val="20"/>
          <w:szCs w:val="20"/>
          <w:color w:val="auto"/>
        </w:rPr>
      </w:pPr>
      <w:r>
        <w:rPr>
          <w:rFonts w:ascii="Times New Roman" w:cs="Times New Roman" w:eastAsia="Times New Roman" w:hAnsi="Times New Roman"/>
          <w:sz w:val="18"/>
          <w:szCs w:val="18"/>
          <w:color w:val="auto"/>
        </w:rPr>
        <w:t>When we accept risk in our Excess and Surplus Lines segment, we are careful to establish terms that are suited to the risk and the pricing. As an excess and surplus lines writer, we use our freedom of rate and form to make it possible to take on risks that have already been rejected by admitted carriers who have determined they cannot insure these risks on approved forms at filed rates. We attempt to craft policies that offer affordable protection to our insureds by tailoring coverage in ways that make potential losses more predictable and are intended to reduce claims costs.</w:t>
      </w:r>
    </w:p>
    <w:p>
      <w:pPr>
        <w:spacing w:after="0" w:line="74" w:lineRule="exact"/>
        <w:rPr>
          <w:sz w:val="20"/>
          <w:szCs w:val="20"/>
          <w:color w:val="auto"/>
        </w:rPr>
      </w:pPr>
    </w:p>
    <w:p>
      <w:pPr>
        <w:ind w:right="20" w:firstLine="323"/>
        <w:spacing w:after="0" w:line="256" w:lineRule="auto"/>
        <w:rPr>
          <w:sz w:val="20"/>
          <w:szCs w:val="20"/>
          <w:color w:val="auto"/>
        </w:rPr>
      </w:pPr>
      <w:r>
        <w:rPr>
          <w:rFonts w:ascii="Times New Roman" w:cs="Times New Roman" w:eastAsia="Times New Roman" w:hAnsi="Times New Roman"/>
          <w:sz w:val="18"/>
          <w:szCs w:val="18"/>
          <w:color w:val="auto"/>
        </w:rPr>
        <w:t>We design our internal processing and data collection systems to provide our management team with accurate and relevant information in real-time. We collect premium, commission and claims data, including detailed information regarding policy price, terms, conditions and the nature of the insured’s business. This data allows us to analyze trends in our business, including results by individual broker, underwriter and class of business and expand or contract our operations quickly in response to market conditions. We rely on our information technology systems in this process. Additionally, the claims staff also contributes to our underwriting operations through its communication of claims information to our underwriters.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effective management of claims settlement and any associated litigation avoids delays and associated additional costs.</w:t>
      </w:r>
    </w:p>
    <w:p>
      <w:pPr>
        <w:spacing w:after="0" w:line="115" w:lineRule="exact"/>
        <w:rPr>
          <w:sz w:val="20"/>
          <w:szCs w:val="20"/>
          <w:color w:val="auto"/>
        </w:rPr>
      </w:pPr>
    </w:p>
    <w:p>
      <w:pPr>
        <w:ind w:right="660" w:firstLine="323"/>
        <w:spacing w:after="0" w:line="280" w:lineRule="auto"/>
        <w:rPr>
          <w:sz w:val="20"/>
          <w:szCs w:val="20"/>
          <w:color w:val="auto"/>
        </w:rPr>
      </w:pPr>
      <w:r>
        <w:rPr>
          <w:rFonts w:ascii="Times New Roman" w:cs="Times New Roman" w:eastAsia="Times New Roman" w:hAnsi="Times New Roman"/>
          <w:sz w:val="18"/>
          <w:szCs w:val="18"/>
          <w:color w:val="auto"/>
        </w:rPr>
        <w:t>Over 70 claims professionals with significant experience in the property-casualty industry support our Excess and Surplus Lines segment as of December 31, 2024.</w:t>
      </w:r>
    </w:p>
    <w:p>
      <w:pPr>
        <w:spacing w:after="0" w:line="55" w:lineRule="exact"/>
        <w:rPr>
          <w:sz w:val="20"/>
          <w:szCs w:val="20"/>
          <w:color w:val="auto"/>
        </w:rPr>
      </w:pPr>
    </w:p>
    <w:p>
      <w:pPr>
        <w:ind w:right="120" w:firstLine="323"/>
        <w:spacing w:after="0" w:line="253" w:lineRule="auto"/>
        <w:rPr>
          <w:sz w:val="20"/>
          <w:szCs w:val="20"/>
          <w:color w:val="auto"/>
        </w:rPr>
      </w:pPr>
      <w:r>
        <w:rPr>
          <w:rFonts w:ascii="Times New Roman" w:cs="Times New Roman" w:eastAsia="Times New Roman" w:hAnsi="Times New Roman"/>
          <w:sz w:val="18"/>
          <w:szCs w:val="18"/>
          <w:color w:val="auto"/>
        </w:rPr>
        <w:t>Our excess and surplus lines business generally results in claims from premises/operations liability, professional liability, hired and non-owned auto liability, auto physical damage, first party property losses and products liability. We believe the key to effective claims management is timely and thorough claims investigation. We seek to complete all investigations and adjust reserves appropriately as soon as is practicable after the receipt of a claim. We seek to manage the number of claims per adjuster to allow adjusters sufficient time to investigate and resolve claims. Senior management reviews each case above a specified amount at least quarterly to evaluate whether the key issues in the case are being considered and to monitor case reserve levels. We keep the settlement authority of front-line adjusters low to ensure the practice of having two or more members of the department participate in the decision as to whether to settle or defend. In addition, cases with unusual damage, liability or policy interpretation issues are subjected to peer reviews. Members of the underwriting staff participate in this process. Prior to any scheduled mediation or trial involving a claim, claims personnel conduct further peer review to make sure all issues and exposures have been adequately analyzed.</w:t>
      </w:r>
    </w:p>
    <w:p>
      <w:pPr>
        <w:spacing w:after="0" w:line="79" w:lineRule="exact"/>
        <w:rPr>
          <w:sz w:val="20"/>
          <w:szCs w:val="20"/>
          <w:color w:val="auto"/>
        </w:rPr>
      </w:pPr>
    </w:p>
    <w:p>
      <w:pPr>
        <w:jc w:val="both"/>
        <w:ind w:right="280" w:firstLine="323"/>
        <w:spacing w:after="0" w:line="264" w:lineRule="auto"/>
        <w:rPr>
          <w:sz w:val="20"/>
          <w:szCs w:val="20"/>
          <w:color w:val="auto"/>
        </w:rPr>
      </w:pPr>
      <w:r>
        <w:rPr>
          <w:rFonts w:ascii="Times New Roman" w:cs="Times New Roman" w:eastAsia="Times New Roman" w:hAnsi="Times New Roman"/>
          <w:sz w:val="18"/>
          <w:szCs w:val="18"/>
          <w:color w:val="auto"/>
        </w:rPr>
        <w:t>Our claims staff also contributes to our underwriting operations through communication of claims information to our underwriters. Members of our Claims team participate on our forms committee, which reviews and develops all policy forms and exclusions, and are also members of the underwriting review committee.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Approximately 92% of all claims received are closed within five years in the Excess and Surplus Lines segment.</w:t>
            </w:r>
          </w:p>
        </w:tc>
        <w:tc>
          <w:tcPr>
            <w:tcW w:w="1540" w:type="dxa"/>
            <w:vAlign w:val="bottom"/>
          </w:tcPr>
          <w:p>
            <w:pPr>
              <w:spacing w:after="0"/>
              <w:rPr>
                <w:sz w:val="20"/>
                <w:szCs w:val="20"/>
                <w:color w:val="auto"/>
              </w:rPr>
            </w:pPr>
          </w:p>
        </w:tc>
      </w:tr>
      <w:tr>
        <w:trPr>
          <w:trHeight w:val="322"/>
        </w:trPr>
        <w:tc>
          <w:tcPr>
            <w:tcW w:w="9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calendar year net loss ratios for the Excess and Surplus Lines segment for the last ten years were:</w:t>
            </w:r>
          </w:p>
        </w:tc>
        <w:tc>
          <w:tcPr>
            <w:tcW w:w="1540" w:type="dxa"/>
            <w:vAlign w:val="bottom"/>
          </w:tcPr>
          <w:p>
            <w:pPr>
              <w:spacing w:after="0"/>
              <w:rPr>
                <w:sz w:val="24"/>
                <w:szCs w:val="24"/>
                <w:color w:val="auto"/>
              </w:rPr>
            </w:pPr>
          </w:p>
        </w:tc>
      </w:tr>
      <w:tr>
        <w:trPr>
          <w:trHeight w:val="134"/>
        </w:trPr>
        <w:tc>
          <w:tcPr>
            <w:tcW w:w="930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228"/>
        </w:trPr>
        <w:tc>
          <w:tcPr>
            <w:tcW w:w="9300" w:type="dxa"/>
            <w:vAlign w:val="bottom"/>
            <w:shd w:val="clear" w:color="auto" w:fill="CCEEFF"/>
          </w:tcPr>
          <w:p>
            <w:pPr>
              <w:jc w:val="right"/>
              <w:ind w:right="8830"/>
              <w:spacing w:after="0"/>
              <w:rPr>
                <w:sz w:val="20"/>
                <w:szCs w:val="20"/>
                <w:color w:val="auto"/>
              </w:rPr>
            </w:pPr>
            <w:r>
              <w:rPr>
                <w:rFonts w:ascii="Times New Roman" w:cs="Times New Roman" w:eastAsia="Times New Roman" w:hAnsi="Times New Roman"/>
                <w:sz w:val="18"/>
                <w:szCs w:val="18"/>
                <w:color w:val="auto"/>
                <w:w w:val="99"/>
              </w:rPr>
              <w:t>2015</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54.5 %</w:t>
            </w:r>
          </w:p>
        </w:tc>
      </w:tr>
      <w:tr>
        <w:trPr>
          <w:trHeight w:val="228"/>
        </w:trPr>
        <w:tc>
          <w:tcPr>
            <w:tcW w:w="9300" w:type="dxa"/>
            <w:vAlign w:val="bottom"/>
          </w:tcPr>
          <w:p>
            <w:pPr>
              <w:jc w:val="right"/>
              <w:ind w:right="8830"/>
              <w:spacing w:after="0"/>
              <w:rPr>
                <w:sz w:val="20"/>
                <w:szCs w:val="20"/>
                <w:color w:val="auto"/>
              </w:rPr>
            </w:pPr>
            <w:r>
              <w:rPr>
                <w:rFonts w:ascii="Times New Roman" w:cs="Times New Roman" w:eastAsia="Times New Roman" w:hAnsi="Times New Roman"/>
                <w:sz w:val="18"/>
                <w:szCs w:val="18"/>
                <w:color w:val="auto"/>
                <w:w w:val="99"/>
              </w:rPr>
              <w:t>2016</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62.6 %</w:t>
            </w:r>
          </w:p>
        </w:tc>
      </w:tr>
      <w:tr>
        <w:trPr>
          <w:trHeight w:val="228"/>
        </w:trPr>
        <w:tc>
          <w:tcPr>
            <w:tcW w:w="9300" w:type="dxa"/>
            <w:vAlign w:val="bottom"/>
            <w:shd w:val="clear" w:color="auto" w:fill="CCEEFF"/>
          </w:tcPr>
          <w:p>
            <w:pPr>
              <w:jc w:val="right"/>
              <w:ind w:right="8830"/>
              <w:spacing w:after="0"/>
              <w:rPr>
                <w:sz w:val="20"/>
                <w:szCs w:val="20"/>
                <w:color w:val="auto"/>
              </w:rPr>
            </w:pPr>
            <w:r>
              <w:rPr>
                <w:rFonts w:ascii="Times New Roman" w:cs="Times New Roman" w:eastAsia="Times New Roman" w:hAnsi="Times New Roman"/>
                <w:sz w:val="18"/>
                <w:szCs w:val="18"/>
                <w:color w:val="auto"/>
                <w:w w:val="99"/>
              </w:rPr>
              <w:t>2017</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80.2 %</w:t>
            </w:r>
          </w:p>
        </w:tc>
      </w:tr>
      <w:tr>
        <w:trPr>
          <w:trHeight w:val="228"/>
        </w:trPr>
        <w:tc>
          <w:tcPr>
            <w:tcW w:w="9300" w:type="dxa"/>
            <w:vAlign w:val="bottom"/>
          </w:tcPr>
          <w:p>
            <w:pPr>
              <w:jc w:val="right"/>
              <w:ind w:right="8830"/>
              <w:spacing w:after="0"/>
              <w:rPr>
                <w:sz w:val="20"/>
                <w:szCs w:val="20"/>
                <w:color w:val="auto"/>
              </w:rPr>
            </w:pPr>
            <w:r>
              <w:rPr>
                <w:rFonts w:ascii="Times New Roman" w:cs="Times New Roman" w:eastAsia="Times New Roman" w:hAnsi="Times New Roman"/>
                <w:sz w:val="18"/>
                <w:szCs w:val="18"/>
                <w:color w:val="auto"/>
                <w:w w:val="99"/>
              </w:rPr>
              <w:t>2018</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r>
      <w:tr>
        <w:trPr>
          <w:trHeight w:val="228"/>
        </w:trPr>
        <w:tc>
          <w:tcPr>
            <w:tcW w:w="9300" w:type="dxa"/>
            <w:vAlign w:val="bottom"/>
            <w:shd w:val="clear" w:color="auto" w:fill="CCEEFF"/>
          </w:tcPr>
          <w:p>
            <w:pPr>
              <w:jc w:val="right"/>
              <w:ind w:right="8830"/>
              <w:spacing w:after="0"/>
              <w:rPr>
                <w:sz w:val="20"/>
                <w:szCs w:val="20"/>
                <w:color w:val="auto"/>
              </w:rPr>
            </w:pPr>
            <w:r>
              <w:rPr>
                <w:rFonts w:ascii="Times New Roman" w:cs="Times New Roman" w:eastAsia="Times New Roman" w:hAnsi="Times New Roman"/>
                <w:sz w:val="18"/>
                <w:szCs w:val="18"/>
                <w:color w:val="auto"/>
                <w:w w:val="99"/>
              </w:rPr>
              <w:t>2019</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84.4 %</w:t>
            </w:r>
          </w:p>
        </w:tc>
      </w:tr>
      <w:tr>
        <w:trPr>
          <w:trHeight w:val="228"/>
        </w:trPr>
        <w:tc>
          <w:tcPr>
            <w:tcW w:w="9300" w:type="dxa"/>
            <w:vAlign w:val="bottom"/>
          </w:tcPr>
          <w:p>
            <w:pPr>
              <w:jc w:val="right"/>
              <w:ind w:right="8830"/>
              <w:spacing w:after="0"/>
              <w:rPr>
                <w:sz w:val="20"/>
                <w:szCs w:val="20"/>
                <w:color w:val="auto"/>
              </w:rPr>
            </w:pPr>
            <w:r>
              <w:rPr>
                <w:rFonts w:ascii="Times New Roman" w:cs="Times New Roman" w:eastAsia="Times New Roman" w:hAnsi="Times New Roman"/>
                <w:sz w:val="18"/>
                <w:szCs w:val="18"/>
                <w:color w:val="auto"/>
                <w:w w:val="99"/>
              </w:rPr>
              <w:t>2020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76.7 %</w:t>
            </w:r>
          </w:p>
        </w:tc>
      </w:tr>
      <w:tr>
        <w:trPr>
          <w:trHeight w:val="228"/>
        </w:trPr>
        <w:tc>
          <w:tcPr>
            <w:tcW w:w="9300" w:type="dxa"/>
            <w:vAlign w:val="bottom"/>
            <w:shd w:val="clear" w:color="auto" w:fill="CCEEFF"/>
          </w:tcPr>
          <w:p>
            <w:pPr>
              <w:jc w:val="right"/>
              <w:ind w:right="8830"/>
              <w:spacing w:after="0"/>
              <w:rPr>
                <w:sz w:val="20"/>
                <w:szCs w:val="20"/>
                <w:color w:val="auto"/>
              </w:rPr>
            </w:pPr>
            <w:r>
              <w:rPr>
                <w:rFonts w:ascii="Times New Roman" w:cs="Times New Roman" w:eastAsia="Times New Roman" w:hAnsi="Times New Roman"/>
                <w:sz w:val="18"/>
                <w:szCs w:val="18"/>
                <w:color w:val="auto"/>
                <w:w w:val="99"/>
              </w:rPr>
              <w:t>2021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106.2 %</w:t>
            </w:r>
          </w:p>
        </w:tc>
      </w:tr>
      <w:tr>
        <w:trPr>
          <w:trHeight w:val="228"/>
        </w:trPr>
        <w:tc>
          <w:tcPr>
            <w:tcW w:w="9300" w:type="dxa"/>
            <w:vAlign w:val="bottom"/>
          </w:tcPr>
          <w:p>
            <w:pPr>
              <w:jc w:val="right"/>
              <w:ind w:right="8830"/>
              <w:spacing w:after="0"/>
              <w:rPr>
                <w:sz w:val="20"/>
                <w:szCs w:val="20"/>
                <w:color w:val="auto"/>
              </w:rPr>
            </w:pPr>
            <w:r>
              <w:rPr>
                <w:rFonts w:ascii="Times New Roman" w:cs="Times New Roman" w:eastAsia="Times New Roman" w:hAnsi="Times New Roman"/>
                <w:sz w:val="18"/>
                <w:szCs w:val="18"/>
                <w:color w:val="auto"/>
                <w:w w:val="99"/>
              </w:rPr>
              <w:t>2022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65.9 %</w:t>
            </w:r>
          </w:p>
        </w:tc>
      </w:tr>
      <w:tr>
        <w:trPr>
          <w:trHeight w:val="228"/>
        </w:trPr>
        <w:tc>
          <w:tcPr>
            <w:tcW w:w="9300" w:type="dxa"/>
            <w:vAlign w:val="bottom"/>
            <w:shd w:val="clear" w:color="auto" w:fill="CCEEFF"/>
          </w:tcPr>
          <w:p>
            <w:pPr>
              <w:jc w:val="right"/>
              <w:ind w:right="8830"/>
              <w:spacing w:after="0"/>
              <w:rPr>
                <w:sz w:val="20"/>
                <w:szCs w:val="20"/>
                <w:color w:val="auto"/>
              </w:rPr>
            </w:pPr>
            <w:r>
              <w:rPr>
                <w:rFonts w:ascii="Times New Roman" w:cs="Times New Roman" w:eastAsia="Times New Roman" w:hAnsi="Times New Roman"/>
                <w:sz w:val="18"/>
                <w:szCs w:val="18"/>
                <w:color w:val="auto"/>
                <w:w w:val="99"/>
              </w:rPr>
              <w:t>2023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68.9 %</w:t>
            </w:r>
          </w:p>
        </w:tc>
      </w:tr>
      <w:tr>
        <w:trPr>
          <w:trHeight w:val="234"/>
        </w:trPr>
        <w:tc>
          <w:tcPr>
            <w:tcW w:w="9300" w:type="dxa"/>
            <w:vAlign w:val="bottom"/>
          </w:tcPr>
          <w:p>
            <w:pPr>
              <w:jc w:val="right"/>
              <w:ind w:right="8830"/>
              <w:spacing w:after="0"/>
              <w:rPr>
                <w:sz w:val="20"/>
                <w:szCs w:val="20"/>
                <w:color w:val="auto"/>
              </w:rPr>
            </w:pPr>
            <w:r>
              <w:rPr>
                <w:rFonts w:ascii="Times New Roman" w:cs="Times New Roman" w:eastAsia="Times New Roman" w:hAnsi="Times New Roman"/>
                <w:sz w:val="18"/>
                <w:szCs w:val="18"/>
                <w:color w:val="auto"/>
                <w:w w:val="99"/>
              </w:rPr>
              <w:t>2024</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87.6 %</w:t>
            </w: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323"/>
        <w:spacing w:after="0" w:line="255" w:lineRule="auto"/>
        <w:rPr>
          <w:sz w:val="20"/>
          <w:szCs w:val="20"/>
          <w:color w:val="auto"/>
        </w:rPr>
      </w:pPr>
      <w:r>
        <w:rPr>
          <w:rFonts w:ascii="Times New Roman" w:cs="Times New Roman" w:eastAsia="Times New Roman" w:hAnsi="Times New Roman"/>
          <w:sz w:val="18"/>
          <w:szCs w:val="18"/>
          <w:color w:val="auto"/>
        </w:rPr>
        <w:t>The calendar year loss ratio for 2024 was impacted by a $52.2 million reserve charge upon execution of the E&amp;S ADC (as defined below) (consideration paid in excess of initial reserves) discussed below and $52.8 million of ceded premium recorded upon execution of the E&amp;S Top Up ADC (as defined below). The calendar year loss ratios for 2017 through 2021 were impacted by adverse reserve development of $38.7 million, $20.7 million, $57.4 million, $91.4 million and $200.1 million, respectively, in the commercial auto line of business that was primarily related to a former insured, Rasier. The loss ratios for 2022 and 2021 also include net catastrophe losses in the Excess Property line of business of $5.0 million related to Hurricane Ian in 2022 and $5.0 million related to Hurricane Ida in 2021.</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Portfolio Transfers and Adverse Development Covers</w:t>
      </w:r>
    </w:p>
    <w:p>
      <w:pPr>
        <w:spacing w:after="0" w:line="119" w:lineRule="exact"/>
        <w:rPr>
          <w:sz w:val="20"/>
          <w:szCs w:val="20"/>
          <w:color w:val="auto"/>
        </w:rPr>
      </w:pPr>
    </w:p>
    <w:p>
      <w:pPr>
        <w:jc w:val="both"/>
        <w:ind w:right="120" w:firstLine="323"/>
        <w:spacing w:after="0" w:line="264" w:lineRule="auto"/>
        <w:rPr>
          <w:sz w:val="20"/>
          <w:szCs w:val="20"/>
          <w:color w:val="auto"/>
        </w:rPr>
      </w:pPr>
      <w:r>
        <w:rPr>
          <w:rFonts w:ascii="Times New Roman" w:cs="Times New Roman" w:eastAsia="Times New Roman" w:hAnsi="Times New Roman"/>
          <w:sz w:val="18"/>
          <w:szCs w:val="18"/>
          <w:color w:val="auto"/>
        </w:rPr>
        <w:t>The Company has entered into loss portfolio transfers and adverse development covers to transfer losses and loss adjustment expenses and associated risk of adverse development on covered subject E&amp;S business, as defined in the respective agreements, to assuming reinsurers in exchange for reinsurance premium.</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Auto Loss Portfolio Transfer</w:t>
      </w:r>
    </w:p>
    <w:p>
      <w:pPr>
        <w:spacing w:after="0" w:line="119" w:lineRule="exact"/>
        <w:rPr>
          <w:sz w:val="20"/>
          <w:szCs w:val="20"/>
          <w:color w:val="auto"/>
        </w:rPr>
      </w:pPr>
    </w:p>
    <w:p>
      <w:pPr>
        <w:ind w:right="120" w:firstLine="323"/>
        <w:spacing w:after="0" w:line="256" w:lineRule="auto"/>
        <w:rPr>
          <w:sz w:val="20"/>
          <w:szCs w:val="20"/>
          <w:color w:val="auto"/>
        </w:rPr>
      </w:pPr>
      <w:r>
        <w:rPr>
          <w:rFonts w:ascii="Times New Roman" w:cs="Times New Roman" w:eastAsia="Times New Roman" w:hAnsi="Times New Roman"/>
          <w:sz w:val="18"/>
          <w:szCs w:val="18"/>
          <w:color w:val="auto"/>
        </w:rPr>
        <w:t>On September 27, 2021, James River entered into a loss portfolio transfer transaction (the “Commercial Auto LPT”) with Aleka Insurance, Inc. (“Aleka”), a captive insurance company affiliate of Rasier, to reinsure substantially all of the Excess and Surplus Lines segment's legacy portfolio of commercial auto policies previously issued to Rasier for which James River is not otherwise indemnified by Rasier. The reinsurance coverage is structured to be fully collateralized, is not subject to an aggregate limit, and is subject to certain exclusions. The cumulative amounts ceded under the loss portfolio transfer were $459.3 million, $456.2 million and $391.8 million as of December 31, 2024, 2023, and 2022,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Loss Portfolio Transfer and Adverse Development Cover</w:t>
      </w:r>
    </w:p>
    <w:p>
      <w:pPr>
        <w:spacing w:after="0" w:line="119" w:lineRule="exact"/>
        <w:rPr>
          <w:sz w:val="20"/>
          <w:szCs w:val="20"/>
          <w:color w:val="auto"/>
        </w:rPr>
      </w:pPr>
    </w:p>
    <w:p>
      <w:pPr>
        <w:ind w:right="440" w:firstLine="323"/>
        <w:spacing w:after="0" w:line="280" w:lineRule="auto"/>
        <w:rPr>
          <w:sz w:val="20"/>
          <w:szCs w:val="20"/>
          <w:color w:val="auto"/>
        </w:rPr>
      </w:pPr>
      <w:r>
        <w:rPr>
          <w:rFonts w:ascii="Times New Roman" w:cs="Times New Roman" w:eastAsia="Times New Roman" w:hAnsi="Times New Roman"/>
          <w:sz w:val="18"/>
          <w:szCs w:val="18"/>
          <w:color w:val="auto"/>
        </w:rPr>
        <w:t>On July 2, 2024, James River entered into a Combined Loss Portfolio Transfer and Adverse Development Cover Reinsurance Contract (the “E&amp;S ADC”) with State National Insurance Company, Inc. (“State National”). The transaction closed upon signing.</w:t>
      </w:r>
    </w:p>
    <w:p>
      <w:pPr>
        <w:spacing w:after="0" w:line="55" w:lineRule="exact"/>
        <w:rPr>
          <w:sz w:val="20"/>
          <w:szCs w:val="20"/>
          <w:color w:val="auto"/>
        </w:rPr>
      </w:pPr>
    </w:p>
    <w:p>
      <w:pPr>
        <w:ind w:right="20" w:firstLine="323"/>
        <w:spacing w:after="0" w:line="253" w:lineRule="auto"/>
        <w:rPr>
          <w:sz w:val="20"/>
          <w:szCs w:val="20"/>
          <w:color w:val="auto"/>
        </w:rPr>
      </w:pPr>
      <w:r>
        <w:rPr>
          <w:rFonts w:ascii="Times New Roman" w:cs="Times New Roman" w:eastAsia="Times New Roman" w:hAnsi="Times New Roman"/>
          <w:sz w:val="18"/>
          <w:szCs w:val="18"/>
          <w:color w:val="auto"/>
        </w:rPr>
        <w:t>The E&amp;S ADC was effective January 1, 2024 (the “Effective Date”) and applies to James River’s Excess &amp; Surplus Lines segment casualty portfolio losses attaching to premium earned during 2010-2023 (both years inclusive), excluding, among others, losses related to commercial auto policies issued to a former large insured or its affiliates (the “Subject Business”). Pursuant to the E&amp;S ADC, (1) State National reinsures 85% of losses paid on and after the Effective Date in respect of the Subject Business in excess of $716.6 million up to an aggregate limit of $467.1 million (with State National’s share of the aggregate limit being $397.0 million) in exchange for a reinsurance premium paid by James River equal to $313.2 million, (2) James River continues to manage claims and to manage and collect the benefit of other existing third-party reinsurance on the Subject Business, which third-party reinsurance inures to the benefit of the E&amp;S ADC, and (3) James River is entitled to a profit commission of 50% of any favorable development on the business ceded to State National below 104.5% of carried reserves, which profit commission shall not exceed $87.0 million in total. The Company has $41.2 million of aggregate limit remaining on the E&amp;S ADC at December 31,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Development Cover</w:t>
      </w:r>
    </w:p>
    <w:p>
      <w:pPr>
        <w:spacing w:after="0" w:line="119" w:lineRule="exact"/>
        <w:rPr>
          <w:sz w:val="20"/>
          <w:szCs w:val="20"/>
          <w:color w:val="auto"/>
        </w:rPr>
      </w:pPr>
    </w:p>
    <w:p>
      <w:pPr>
        <w:ind w:right="120" w:firstLine="323"/>
        <w:spacing w:after="0" w:line="253" w:lineRule="auto"/>
        <w:rPr>
          <w:sz w:val="20"/>
          <w:szCs w:val="20"/>
          <w:color w:val="auto"/>
        </w:rPr>
      </w:pPr>
      <w:r>
        <w:rPr>
          <w:rFonts w:ascii="Times New Roman" w:cs="Times New Roman" w:eastAsia="Times New Roman" w:hAnsi="Times New Roman"/>
          <w:sz w:val="18"/>
          <w:szCs w:val="18"/>
          <w:color w:val="auto"/>
        </w:rPr>
        <w:t>The Company commenced a multi-pronged strategic partnership with Enstar. As part of this, on November 11, 2024, Enstar, through its subsidiary Cavello Bay Reinsurance Limited (“Cavello Bay”), entered into an adverse development cover agreement with James River (“E&amp;S Top Up ADC”). Pursuant to this agreement, in exchange for a premium of $52.8 million (less an amount equal to the federal excise tax payable on the premium), Cavello Bay reinsures, effective January 1, 2024, 100% of the losses associated with James River’s Excess &amp; Surplus Lines segment portfolio losses attaching to premium earned during 2010-2023 (both years inclusive). This agreement excludes losses related to commercial auto policies issued to a former large insured or its affiliates. It is subject to a retention by James River of $1,183.7 million (the limit of the E&amp;S ADC executed on July 2, 2024) and up to an aggregate limit of $75.0 million. The E&amp;S Top Up ADC closed on December 23, 2024. The Company recognized a $52.8 million reduction in pre-tax income in connection with the adverse development cover upon closing. The Company has $75.0 million of aggregate limit remaining on the E&amp;S Top Up ADC at December 31, 2024.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Specialty Admitted Insurance Segment</w:t>
      </w:r>
    </w:p>
    <w:p>
      <w:pPr>
        <w:spacing w:after="0" w:line="119" w:lineRule="exact"/>
        <w:rPr>
          <w:sz w:val="20"/>
          <w:szCs w:val="20"/>
          <w:color w:val="auto"/>
        </w:rPr>
      </w:pPr>
    </w:p>
    <w:p>
      <w:pPr>
        <w:ind w:right="140" w:firstLine="323"/>
        <w:spacing w:after="0" w:line="279" w:lineRule="auto"/>
        <w:rPr>
          <w:sz w:val="20"/>
          <w:szCs w:val="20"/>
          <w:color w:val="auto"/>
        </w:rPr>
      </w:pPr>
      <w:r>
        <w:rPr>
          <w:rFonts w:ascii="Times New Roman" w:cs="Times New Roman" w:eastAsia="Times New Roman" w:hAnsi="Times New Roman"/>
          <w:sz w:val="17"/>
          <w:szCs w:val="17"/>
          <w:color w:val="auto"/>
        </w:rPr>
        <w:t>The Falls Lake Insurance Companies (“Falls Lake”) comprise our other U.S. insurance segment, Specialty Admitted Insurance. Falls Lake consists of Falls Lake National (an Ohio domiciled company, licensed in 49 states and the District of Columbia and registered as a surplus lines company in California), and its subsidiaries Stonewood Insurance (an Ohio domiciled company) and Falls Lake Fire and Casualty (a California domiciled company). The Specialty Admitted Insurance segment produced 29.0% of gross written premiums from continuing operations for the year ended December 31, 2024.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Fronting &amp; Program Business</w:t>
      </w:r>
    </w:p>
    <w:p>
      <w:pPr>
        <w:spacing w:after="0" w:line="117" w:lineRule="exact"/>
        <w:rPr>
          <w:sz w:val="20"/>
          <w:szCs w:val="20"/>
          <w:color w:val="auto"/>
        </w:rPr>
      </w:pPr>
    </w:p>
    <w:p>
      <w:pPr>
        <w:ind w:firstLine="323"/>
        <w:spacing w:after="0" w:line="252" w:lineRule="auto"/>
        <w:rPr>
          <w:sz w:val="20"/>
          <w:szCs w:val="20"/>
          <w:color w:val="auto"/>
        </w:rPr>
      </w:pPr>
      <w:r>
        <w:rPr>
          <w:rFonts w:ascii="Times New Roman" w:cs="Times New Roman" w:eastAsia="Times New Roman" w:hAnsi="Times New Roman"/>
          <w:sz w:val="18"/>
          <w:szCs w:val="18"/>
          <w:color w:val="auto"/>
        </w:rPr>
        <w:t>Fronting and program business written through selected MGAs, insurance carriers, and other producers, represented 99.0% of 2024 gross written premiums in this segment (90.9% in 2023, 89.2% in 2022). In our fronting business, we issue insurance policies for another insurance company which may not have the licensure, product suite or rating to serve its desired market, or for a program supported by reinsurance or alternative capital provider(s). In a fronting arrangement, we give selected MGAs authority to act on our behalf to produce, underwrite and administer policies that meet our underwriting and pricing guidelines. We generally retain 10%-35% of the underwriting risk in our fronting business. The issuance of our policy makes us contractually responsible to the insured in the event they experience a covered loss. We enter into these arrangements selectively with counterparties which have significant experience and market presence in specialty classes of property-casualty risk or automobile business. We only work with MGAs who permit us to actively engage with them through a combination of onsite and offsite resources to facilitate our real-time supervision of their work. Underwriting, claims and financial performance is subject to regular review by our staff, and we hold appropriate collateral to manage counterparty credit risk. We grant limited authority for underwriting and claims administration and employ a rigorous review process to ensure the authority is appropriately used within the terms of our contract, and that collateral held by us is appropriate. We charge fees as a percentage of gross written premiums for issuing these policies. We establish fronting opportunities through a variety of sources, including direct carrier relationships, MGAs, reinsurers, and reinsurance brokers.</w:t>
      </w:r>
    </w:p>
    <w:p>
      <w:pPr>
        <w:spacing w:after="0" w:line="79" w:lineRule="exact"/>
        <w:rPr>
          <w:sz w:val="20"/>
          <w:szCs w:val="20"/>
          <w:color w:val="auto"/>
        </w:rPr>
      </w:pPr>
    </w:p>
    <w:p>
      <w:pPr>
        <w:ind w:right="140" w:firstLine="323"/>
        <w:spacing w:after="0" w:line="255" w:lineRule="auto"/>
        <w:rPr>
          <w:sz w:val="20"/>
          <w:szCs w:val="20"/>
          <w:color w:val="auto"/>
        </w:rPr>
      </w:pPr>
      <w:r>
        <w:rPr>
          <w:rFonts w:ascii="Times New Roman" w:cs="Times New Roman" w:eastAsia="Times New Roman" w:hAnsi="Times New Roman"/>
          <w:sz w:val="18"/>
          <w:szCs w:val="18"/>
          <w:color w:val="auto"/>
        </w:rPr>
        <w:t>Our objective is to utilize the combination of fee income and underwriting profits from our Specialty Admitted Insurance segment to leverage our capital and improve returns on tangible equity. Fee income was $21.0 million in 2024, $24.2 million in 2023, and $23.6 million in 2022. Our licensure and product filings position us to support this business throughout the United States. Because of the more limited capital allocation required to support it, we believe the fronting business represents an efficient use of capital. Our largest fronting relationship produced $175.7 million of gross written premiums in 2024, representing 12.3% of consolidated gross written premiums from continuing operations and 42.4% of the Specialty Admitted Insurance segment's gross written premiums, respectively.</w:t>
      </w:r>
    </w:p>
    <w:p>
      <w:pPr>
        <w:spacing w:after="0" w:line="78" w:lineRule="exact"/>
        <w:rPr>
          <w:sz w:val="20"/>
          <w:szCs w:val="20"/>
          <w:color w:val="auto"/>
        </w:rPr>
      </w:pPr>
    </w:p>
    <w:p>
      <w:pPr>
        <w:ind w:right="280" w:firstLine="323"/>
        <w:spacing w:after="0" w:line="259" w:lineRule="auto"/>
        <w:rPr>
          <w:sz w:val="20"/>
          <w:szCs w:val="20"/>
          <w:color w:val="auto"/>
        </w:rPr>
      </w:pPr>
      <w:r>
        <w:rPr>
          <w:rFonts w:ascii="Times New Roman" w:cs="Times New Roman" w:eastAsia="Times New Roman" w:hAnsi="Times New Roman"/>
          <w:sz w:val="18"/>
          <w:szCs w:val="18"/>
          <w:color w:val="auto"/>
        </w:rPr>
        <w:t>We focus our coverage on casualty risks in our fronting business, although some property insurance is written. We seek to limit our risk generally through reinsurance either on a proportional or excess of loss basis, or sometimes both. For initial claims oversight and administration, we generally outsource frequency layer claims management authority to third-party administrators up to the first $100,000 of a claim with our management oversight, and then provide supervisory control above this amount.</w:t>
      </w:r>
    </w:p>
    <w:p>
      <w:pPr>
        <w:spacing w:after="0" w:line="74" w:lineRule="exact"/>
        <w:rPr>
          <w:sz w:val="20"/>
          <w:szCs w:val="20"/>
          <w:color w:val="auto"/>
        </w:rPr>
      </w:pPr>
    </w:p>
    <w:p>
      <w:pPr>
        <w:ind w:firstLine="323"/>
        <w:spacing w:after="0" w:line="280" w:lineRule="auto"/>
        <w:rPr>
          <w:sz w:val="20"/>
          <w:szCs w:val="20"/>
          <w:color w:val="auto"/>
        </w:rPr>
      </w:pPr>
      <w:r>
        <w:rPr>
          <w:rFonts w:ascii="Times New Roman" w:cs="Times New Roman" w:eastAsia="Times New Roman" w:hAnsi="Times New Roman"/>
          <w:sz w:val="18"/>
          <w:szCs w:val="18"/>
          <w:color w:val="auto"/>
        </w:rPr>
        <w:t>Under the terms of these program agreements, we pay fixed commissions, often with a profit contingency. Our fronting business is distributed primarily through MGAs and fronting and program managers.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Actions to Reduce Workers' Compensation Book</w:t>
      </w:r>
    </w:p>
    <w:p>
      <w:pPr>
        <w:spacing w:after="0" w:line="117" w:lineRule="exact"/>
        <w:rPr>
          <w:sz w:val="20"/>
          <w:szCs w:val="20"/>
          <w:color w:val="auto"/>
        </w:rPr>
      </w:pPr>
    </w:p>
    <w:p>
      <w:pPr>
        <w:ind w:right="60" w:firstLine="323"/>
        <w:spacing w:after="0" w:line="264" w:lineRule="auto"/>
        <w:rPr>
          <w:sz w:val="20"/>
          <w:szCs w:val="20"/>
          <w:color w:val="auto"/>
        </w:rPr>
      </w:pPr>
      <w:r>
        <w:rPr>
          <w:rFonts w:ascii="Times New Roman" w:cs="Times New Roman" w:eastAsia="Times New Roman" w:hAnsi="Times New Roman"/>
          <w:sz w:val="18"/>
          <w:szCs w:val="18"/>
          <w:color w:val="auto"/>
        </w:rPr>
        <w:t>In June 2023, the Company non-renewed its large California workers' compensation program in the Specialty Admitted Insurance segment. This action was taken due to persistent rate pressure and tighter reinsurance capacity. Gross written premiums for the program were $21.3 million, $96.5 million, and $110.9 million for the years ended December 31, 2024, 2023, and 2022, respectively.</w:t>
      </w:r>
    </w:p>
    <w:p>
      <w:pPr>
        <w:spacing w:after="0" w:line="69" w:lineRule="exact"/>
        <w:rPr>
          <w:sz w:val="20"/>
          <w:szCs w:val="20"/>
          <w:color w:val="auto"/>
        </w:rPr>
      </w:pPr>
    </w:p>
    <w:p>
      <w:pPr>
        <w:ind w:right="240" w:firstLine="323"/>
        <w:spacing w:after="0" w:line="253" w:lineRule="auto"/>
        <w:rPr>
          <w:sz w:val="20"/>
          <w:szCs w:val="20"/>
          <w:color w:val="auto"/>
        </w:rPr>
      </w:pPr>
      <w:r>
        <w:rPr>
          <w:rFonts w:ascii="Times New Roman" w:cs="Times New Roman" w:eastAsia="Times New Roman" w:hAnsi="Times New Roman"/>
          <w:sz w:val="18"/>
          <w:szCs w:val="18"/>
          <w:color w:val="auto"/>
        </w:rPr>
        <w:t>On September 25, 2023, the Company announced that certain of its subsidiaries entered into an agreement to sell the renewal rights to the Individual Risk Workers' Compensation (“IRWC”) business in the Specialty Admitted Insurance segment. The IRWC business, previously underwritten by our staff and generated by appointed agents in 13 states, produced 1.0% of 2024 gross written premiums in this segment (9.1% in 2023, 10.8% in 2022). The transaction included the full operations of the business, including underwriting, loss control and claims, and transfer of the employees supporting the business. The transaction, which closed on September 29, 2023, was aligned with our strategy to focus our resources on core businesses where we have meaningful scale. Upon closing of the transaction, the Company recognized a $2.2 million gain on sale included in other income for the year ended December 31, 2023 representing the minimum guaranteed consideration to be received in the transaction. The Company also recognized an impairment charge of $2.5 million related to the trademark intangible asset associated with the IRWC business.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Segment</w:t>
      </w:r>
    </w:p>
    <w:p>
      <w:pPr>
        <w:spacing w:after="0" w:line="119" w:lineRule="exact"/>
        <w:rPr>
          <w:sz w:val="20"/>
          <w:szCs w:val="20"/>
          <w:color w:val="auto"/>
        </w:rPr>
      </w:pPr>
    </w:p>
    <w:p>
      <w:pPr>
        <w:ind w:firstLine="323"/>
        <w:spacing w:after="0" w:line="259" w:lineRule="auto"/>
        <w:rPr>
          <w:sz w:val="20"/>
          <w:szCs w:val="20"/>
          <w:color w:val="auto"/>
        </w:rPr>
      </w:pPr>
      <w:r>
        <w:rPr>
          <w:rFonts w:ascii="Times New Roman" w:cs="Times New Roman" w:eastAsia="Times New Roman" w:hAnsi="Times New Roman"/>
          <w:sz w:val="18"/>
          <w:szCs w:val="18"/>
          <w:color w:val="auto"/>
        </w:rPr>
        <w:t>Our Chief Executive Officer and Chief Financial Officer and other holding company employees are part of the Corporate and Other segment. This is where we set and direct strategy for the group as a whole as well as high level objectives for each of the operating segments. We make all capital management, capital allocation, treasury functions, information technology and group wide risk management decisions in this segment. Our decisions at this level also include reinsurance purchasing.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Reinsurance</w:t>
      </w:r>
    </w:p>
    <w:p>
      <w:pPr>
        <w:spacing w:after="0" w:line="119" w:lineRule="exact"/>
        <w:rPr>
          <w:sz w:val="20"/>
          <w:szCs w:val="20"/>
          <w:color w:val="auto"/>
        </w:rPr>
      </w:pPr>
    </w:p>
    <w:p>
      <w:pPr>
        <w:ind w:right="80" w:firstLine="323"/>
        <w:spacing w:after="0" w:line="253" w:lineRule="auto"/>
        <w:rPr>
          <w:sz w:val="20"/>
          <w:szCs w:val="20"/>
          <w:color w:val="auto"/>
        </w:rPr>
      </w:pPr>
      <w:r>
        <w:rPr>
          <w:rFonts w:ascii="Times New Roman" w:cs="Times New Roman" w:eastAsia="Times New Roman" w:hAnsi="Times New Roman"/>
          <w:sz w:val="18"/>
          <w:szCs w:val="18"/>
          <w:color w:val="auto"/>
        </w:rPr>
        <w:t>We routinely purchase reinsurance for our Excess and Surplus Lines and Specialty Admitted Insurance segments. The purchase of reinsurance reduces volatility by limiting our exposure to large losses and provides capacity for growth. In a reinsurance transaction, an insurance company transfers, or cedes, all or part of its exposure in return for a portion of the premium. Our companies remain legally responsible for the entire obligation to policyholders, irrespective of any reinsurance coverage we may purchase. Typically, we pay claims from our own funds and then seek reimbursement from the reinsurer. There is credit exposure with respect to losses ceded to the extent that any reinsurer is unable or unwilling to meet the obligations ceded by us under reinsurance treaties. The ability to collect on reinsurance is subject to many factors, including the solvency of the counterparty and their interpretation of contract language and other factors. As of December 31, 2024, we believe there are no ongoing disputes with any reinsurer that could materially impact the Company's financial position, and we are not aware of any credit quality issues with any of our reinsurers.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Purchased Property Reinsurance</w:t>
      </w:r>
    </w:p>
    <w:p>
      <w:pPr>
        <w:spacing w:after="0" w:line="119" w:lineRule="exact"/>
        <w:rPr>
          <w:sz w:val="20"/>
          <w:szCs w:val="20"/>
          <w:color w:val="auto"/>
        </w:rPr>
      </w:pPr>
    </w:p>
    <w:p>
      <w:pPr>
        <w:ind w:right="40" w:firstLine="323"/>
        <w:spacing w:after="0" w:line="256" w:lineRule="auto"/>
        <w:rPr>
          <w:sz w:val="20"/>
          <w:szCs w:val="20"/>
          <w:color w:val="auto"/>
        </w:rPr>
      </w:pPr>
      <w:r>
        <w:rPr>
          <w:rFonts w:ascii="Times New Roman" w:cs="Times New Roman" w:eastAsia="Times New Roman" w:hAnsi="Times New Roman"/>
          <w:sz w:val="18"/>
          <w:szCs w:val="18"/>
          <w:color w:val="auto"/>
        </w:rPr>
        <w:t>Our focus on return on tangible equity leads us to avoid lines of business that we know are exposed to high degrees of volatility. The Excess and Surplus Lines segment writes a limited book of excess property risks ($53.3 million of direct written premiums in 2024). The risks assumed in this book are geographically dispersed and significantly reinsured to limit losses. The Excess and Surplus Lines segment may retain up to $5.0 million per risk on our excess property book; however, the average retained amount per risk is approximately $678,000. In our Specialty Admitted Insurance segment, we focus on casualty business, but we do write a limited amount of property insurance, principally through our fronting and programs business.</w:t>
      </w:r>
    </w:p>
    <w:p>
      <w:pPr>
        <w:spacing w:after="0" w:line="79" w:lineRule="exact"/>
        <w:rPr>
          <w:sz w:val="20"/>
          <w:szCs w:val="20"/>
          <w:color w:val="auto"/>
        </w:rPr>
      </w:pPr>
    </w:p>
    <w:p>
      <w:pPr>
        <w:ind w:firstLine="323"/>
        <w:spacing w:after="0" w:line="253" w:lineRule="auto"/>
        <w:rPr>
          <w:sz w:val="20"/>
          <w:szCs w:val="20"/>
          <w:color w:val="auto"/>
        </w:rPr>
      </w:pPr>
      <w:r>
        <w:rPr>
          <w:rFonts w:ascii="Times New Roman" w:cs="Times New Roman" w:eastAsia="Times New Roman" w:hAnsi="Times New Roman"/>
          <w:sz w:val="18"/>
          <w:szCs w:val="18"/>
          <w:color w:val="auto"/>
        </w:rPr>
        <w:t>In our Excess and Surplus Lines segment, we purchased a proportional quota share reinsurance treaty specifically designed to cover property risks. The proportional quota share treaty along with facultative reinsurance helps ensure that our net retained limit per risk will be $5.0 million or less. Additionally, we purchased catastrophe reinsurance of $20.0 million in excess of a $5.0 million retention for the group that is intended to cover the 1 in 1,000 year modeled aggregate PML on the segment’s excess property book. We buy such high limits because we believe the property catastrophe models are less accurate when applied to small books of business like ours than when applied to larger portfolios. Where the Specialty Admitted Insurance segment incurs incidental property risks in its fronting and program book of business, protection is also provided under the corporate $20.0 million in excess of $5.0 million catastrophe treaty. This is also intended to cover the 1 in 1,000 year modeled aggregate PML on any property exposures the Specialty Admitted Insurance segment assumes. We believe our pre-tax group-wide PML from a 1 in 1,000 year catastrophic event would not exceed 2.5% of shareholders’ equity, inclusive of reinstatement premiums payable and net retentions.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Purchased Casualty Reinsurance</w:t>
      </w:r>
    </w:p>
    <w:p>
      <w:pPr>
        <w:spacing w:after="0" w:line="119" w:lineRule="exact"/>
        <w:rPr>
          <w:sz w:val="20"/>
          <w:szCs w:val="20"/>
          <w:color w:val="auto"/>
        </w:rPr>
      </w:pPr>
    </w:p>
    <w:p>
      <w:pPr>
        <w:ind w:right="140" w:firstLine="323"/>
        <w:spacing w:after="0" w:line="256" w:lineRule="auto"/>
        <w:rPr>
          <w:sz w:val="20"/>
          <w:szCs w:val="20"/>
          <w:color w:val="auto"/>
        </w:rPr>
      </w:pPr>
      <w:r>
        <w:rPr>
          <w:rFonts w:ascii="Times New Roman" w:cs="Times New Roman" w:eastAsia="Times New Roman" w:hAnsi="Times New Roman"/>
          <w:sz w:val="18"/>
          <w:szCs w:val="18"/>
          <w:color w:val="auto"/>
        </w:rPr>
        <w:t>In our Excess and Surplus Lines segment, we purchase a casualty multiline reinsurance solution for all divisions that provides coverage through a proportional quota share treaty and companion excess of loss treaty. The Company also utilizes facultative reinsurance to reduce the amount of exposure it retains on individual accounts according to its guidelines for accepting risk across various industry segments, locations and types of exposure. Our maximum net liability is $1.4 million of all policy limits up to $2.0 million per occurrence, and up to $3.2 million of all policy limits greater than $2.0 million per occurrence.</w:t>
      </w:r>
    </w:p>
    <w:p>
      <w:pPr>
        <w:spacing w:after="0" w:line="79" w:lineRule="exact"/>
        <w:rPr>
          <w:sz w:val="20"/>
          <w:szCs w:val="20"/>
          <w:color w:val="auto"/>
        </w:rPr>
      </w:pPr>
    </w:p>
    <w:p>
      <w:pPr>
        <w:ind w:firstLine="323"/>
        <w:spacing w:after="0" w:line="264" w:lineRule="auto"/>
        <w:rPr>
          <w:sz w:val="20"/>
          <w:szCs w:val="20"/>
          <w:color w:val="auto"/>
        </w:rPr>
      </w:pPr>
      <w:r>
        <w:rPr>
          <w:rFonts w:ascii="Times New Roman" w:cs="Times New Roman" w:eastAsia="Times New Roman" w:hAnsi="Times New Roman"/>
          <w:sz w:val="18"/>
          <w:szCs w:val="18"/>
          <w:color w:val="auto"/>
        </w:rPr>
        <w:t>In our Specialty Admitted Insurance segment, for our fronting and program business, we generally purchase proportional reinsurance and excess of loss reinsurance to limit our exposure to no more than $750,000 per occurrence. For individual risk workers' compensation, now in runoff, we purchased $29.5 million excess of $500,000 per occurrence.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20" w:firstLine="323"/>
        <w:spacing w:after="0" w:line="259" w:lineRule="auto"/>
        <w:rPr>
          <w:sz w:val="20"/>
          <w:szCs w:val="20"/>
          <w:color w:val="auto"/>
        </w:rPr>
      </w:pPr>
      <w:r>
        <w:rPr>
          <w:rFonts w:ascii="Times New Roman" w:cs="Times New Roman" w:eastAsia="Times New Roman" w:hAnsi="Times New Roman"/>
          <w:sz w:val="18"/>
          <w:szCs w:val="18"/>
          <w:color w:val="auto"/>
        </w:rPr>
        <w:t>For 2024, our top ten reinsurers represented 67.4% of our total ceded reinsurance recoverables, and all of these reinsurance recoverables were from reinsurers with an A.M. Best rating of “A-” (Excellent) or better, or are collateralized with letters of credit or by a trust agreement. The following table sets forth our ten most significant reinsurers by amount of reinsurance recoverables on unpaid losses and the amount of reinsurance recoverables pertaining to each such reinsurer as well as its A.M. Best rating as of December 31, 2024:</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Reinsurance</w:t>
            </w:r>
          </w:p>
        </w:tc>
        <w:tc>
          <w:tcPr>
            <w:tcW w:w="10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 Best Rating</w:t>
            </w:r>
          </w:p>
        </w:tc>
        <w:tc>
          <w:tcPr>
            <w:tcW w:w="0" w:type="dxa"/>
            <w:vAlign w:val="bottom"/>
          </w:tcPr>
          <w:p>
            <w:pPr>
              <w:spacing w:after="0"/>
              <w:rPr>
                <w:sz w:val="1"/>
                <w:szCs w:val="1"/>
                <w:color w:val="auto"/>
              </w:rPr>
            </w:pPr>
          </w:p>
        </w:tc>
      </w:tr>
      <w:tr>
        <w:trPr>
          <w:trHeight w:val="146"/>
        </w:trPr>
        <w:tc>
          <w:tcPr>
            <w:tcW w:w="7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Reinsurer</w:t>
            </w:r>
          </w:p>
        </w:tc>
        <w:tc>
          <w:tcPr>
            <w:tcW w:w="180" w:type="dxa"/>
            <w:vAlign w:val="bottom"/>
          </w:tcPr>
          <w:p>
            <w:pPr>
              <w:spacing w:after="0"/>
              <w:rPr>
                <w:sz w:val="12"/>
                <w:szCs w:val="12"/>
                <w:color w:val="auto"/>
              </w:rPr>
            </w:pPr>
          </w:p>
        </w:tc>
        <w:tc>
          <w:tcPr>
            <w:tcW w:w="142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Recoverable as of</w:t>
            </w: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86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5"/>
        </w:trPr>
        <w:tc>
          <w:tcPr>
            <w:tcW w:w="32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tcPr>
          <w:p>
            <w:pPr>
              <w:spacing w:after="0"/>
              <w:rPr>
                <w:sz w:val="16"/>
                <w:szCs w:val="16"/>
                <w:color w:val="auto"/>
              </w:rPr>
            </w:pPr>
          </w:p>
        </w:tc>
        <w:tc>
          <w:tcPr>
            <w:tcW w:w="4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Swiss Reinsurance America Corporation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398,482</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0" w:type="dxa"/>
            <w:vAlign w:val="bottom"/>
          </w:tcPr>
          <w:p>
            <w:pPr>
              <w:spacing w:after="0"/>
              <w:rPr>
                <w:sz w:val="1"/>
                <w:szCs w:val="1"/>
                <w:color w:val="auto"/>
              </w:rPr>
            </w:pPr>
          </w:p>
        </w:tc>
      </w:tr>
      <w:tr>
        <w:trPr>
          <w:trHeight w:val="228"/>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State National Insurance Company (E&amp;S ADC)</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365,549</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28"/>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Berkley Insurance Company</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216,574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0" w:type="dxa"/>
            <w:vAlign w:val="bottom"/>
          </w:tcPr>
          <w:p>
            <w:pPr>
              <w:spacing w:after="0"/>
              <w:rPr>
                <w:sz w:val="1"/>
                <w:szCs w:val="1"/>
                <w:color w:val="auto"/>
              </w:rPr>
            </w:pPr>
          </w:p>
        </w:tc>
      </w:tr>
      <w:tr>
        <w:trPr>
          <w:trHeight w:val="228"/>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Hannover Ruck SE</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88,860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0" w:type="dxa"/>
            <w:vAlign w:val="bottom"/>
          </w:tcPr>
          <w:p>
            <w:pPr>
              <w:spacing w:after="0"/>
              <w:rPr>
                <w:sz w:val="1"/>
                <w:szCs w:val="1"/>
                <w:color w:val="auto"/>
              </w:rPr>
            </w:pPr>
          </w:p>
        </w:tc>
      </w:tr>
      <w:tr>
        <w:trPr>
          <w:trHeight w:val="228"/>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Peak Reinsurance Company</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0" w:type="dxa"/>
            <w:vAlign w:val="bottom"/>
          </w:tcPr>
          <w:p>
            <w:pPr>
              <w:spacing w:after="0"/>
              <w:rPr>
                <w:sz w:val="1"/>
                <w:szCs w:val="1"/>
                <w:color w:val="auto"/>
              </w:rPr>
            </w:pPr>
          </w:p>
        </w:tc>
      </w:tr>
      <w:tr>
        <w:trPr>
          <w:trHeight w:val="228"/>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Motors Insurance Corporation</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51,389</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28"/>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Endurance Assurance Corporation</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0" w:type="dxa"/>
            <w:vAlign w:val="bottom"/>
          </w:tcPr>
          <w:p>
            <w:pPr>
              <w:spacing w:after="0"/>
              <w:rPr>
                <w:sz w:val="1"/>
                <w:szCs w:val="1"/>
                <w:color w:val="auto"/>
              </w:rPr>
            </w:pPr>
          </w:p>
        </w:tc>
      </w:tr>
      <w:tr>
        <w:trPr>
          <w:trHeight w:val="228"/>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American European Insurance Company</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44,042</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B-(2)</w:t>
            </w:r>
          </w:p>
        </w:tc>
        <w:tc>
          <w:tcPr>
            <w:tcW w:w="0" w:type="dxa"/>
            <w:vAlign w:val="bottom"/>
          </w:tcPr>
          <w:p>
            <w:pPr>
              <w:spacing w:after="0"/>
              <w:rPr>
                <w:sz w:val="1"/>
                <w:szCs w:val="1"/>
                <w:color w:val="auto"/>
              </w:rPr>
            </w:pPr>
          </w:p>
        </w:tc>
      </w:tr>
      <w:tr>
        <w:trPr>
          <w:trHeight w:val="228"/>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SiriusPoint America Insurance Company</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0" w:type="dxa"/>
            <w:vAlign w:val="bottom"/>
          </w:tcPr>
          <w:p>
            <w:pPr>
              <w:spacing w:after="0"/>
              <w:rPr>
                <w:sz w:val="1"/>
                <w:szCs w:val="1"/>
                <w:color w:val="auto"/>
              </w:rPr>
            </w:pPr>
          </w:p>
        </w:tc>
      </w:tr>
      <w:tr>
        <w:trPr>
          <w:trHeight w:val="228"/>
        </w:trPr>
        <w:tc>
          <w:tcPr>
            <w:tcW w:w="78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Aleka Insurance Company (Commercial Auto LPT)</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35,315</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Unrated(1)</w:t>
            </w:r>
          </w:p>
        </w:tc>
        <w:tc>
          <w:tcPr>
            <w:tcW w:w="0" w:type="dxa"/>
            <w:vAlign w:val="bottom"/>
          </w:tcPr>
          <w:p>
            <w:pPr>
              <w:spacing w:after="0"/>
              <w:rPr>
                <w:sz w:val="1"/>
                <w:szCs w:val="1"/>
                <w:color w:val="auto"/>
              </w:rPr>
            </w:pPr>
          </w:p>
        </w:tc>
      </w:tr>
      <w:tr>
        <w:trPr>
          <w:trHeight w:val="222"/>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Top 10 Total</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1,346,638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650,275</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8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1,996,913</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20" w:type="dxa"/>
            <w:vAlign w:val="bottom"/>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c>
          <w:tcPr>
            <w:tcW w:w="4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-520065</wp:posOffset>
            </wp:positionV>
            <wp:extent cx="4923155" cy="1536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23155" cy="153670"/>
                    </a:xfrm>
                    <a:prstGeom prst="rect">
                      <a:avLst/>
                    </a:prstGeom>
                    <a:noFill/>
                  </pic:spPr>
                </pic:pic>
              </a:graphicData>
            </a:graphic>
          </wp:anchor>
        </w:drawing>
      </w:r>
    </w:p>
    <w:p>
      <w:pPr>
        <w:spacing w:after="0" w:line="148" w:lineRule="exact"/>
        <w:rPr>
          <w:sz w:val="20"/>
          <w:szCs w:val="20"/>
          <w:color w:val="auto"/>
        </w:rPr>
      </w:pPr>
    </w:p>
    <w:p>
      <w:pPr>
        <w:ind w:left="400" w:hanging="393"/>
        <w:spacing w:after="0"/>
        <w:tabs>
          <w:tab w:leader="none" w:pos="40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reinsurer is unrated. All material reinsurance amounts from this reinsurer are collateralized.</w:t>
      </w:r>
    </w:p>
    <w:p>
      <w:pPr>
        <w:spacing w:after="0" w:line="115" w:lineRule="exact"/>
        <w:rPr>
          <w:rFonts w:ascii="Times New Roman" w:cs="Times New Roman" w:eastAsia="Times New Roman" w:hAnsi="Times New Roman"/>
          <w:sz w:val="18"/>
          <w:szCs w:val="18"/>
          <w:i w:val="1"/>
          <w:iCs w:val="1"/>
          <w:color w:val="auto"/>
        </w:rPr>
      </w:pPr>
    </w:p>
    <w:p>
      <w:pPr>
        <w:ind w:left="400" w:hanging="393"/>
        <w:spacing w:after="0"/>
        <w:tabs>
          <w:tab w:leader="none" w:pos="40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reinsurer is below A-. All material reinsurance recoverable amounts from this reinsurer are collateralized.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Recoverable from an Indemnifying Party and Reinsurer on Legacy Commercial Auto Book</w:t>
      </w:r>
    </w:p>
    <w:p>
      <w:pPr>
        <w:spacing w:after="0" w:line="119" w:lineRule="exact"/>
        <w:rPr>
          <w:sz w:val="20"/>
          <w:szCs w:val="20"/>
          <w:color w:val="auto"/>
        </w:rPr>
      </w:pPr>
    </w:p>
    <w:p>
      <w:pPr>
        <w:ind w:right="120" w:firstLine="363"/>
        <w:spacing w:after="0" w:line="252" w:lineRule="auto"/>
        <w:rPr>
          <w:sz w:val="20"/>
          <w:szCs w:val="20"/>
          <w:color w:val="auto"/>
        </w:rPr>
      </w:pPr>
      <w:r>
        <w:rPr>
          <w:rFonts w:ascii="Times New Roman" w:cs="Times New Roman" w:eastAsia="Times New Roman" w:hAnsi="Times New Roman"/>
          <w:sz w:val="18"/>
          <w:szCs w:val="18"/>
          <w:color w:val="auto"/>
        </w:rPr>
        <w:t>James River previously issued a set of commercial auto insurance contracts (the “Rasier Commercial Auto Policies”) to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the Commercial Auto LPT with Aleka to reinsure substantially all of the Rasier Commercial Auto Policies for which James River is not otherwise indemnified by Rasier under the Indemnity Agreements. Under the terms of the Commercial Auto LPT, effective as of July 1, 2021, James River ceded to Aleka approximately $345.1 million of commercial auto liabilities relating to Rasier Commercial Auto Policies written in the years 2013-2019, which amount constituted the reinsurance premium. Since inception, due to adverse paid and reported loss trends on the legacy Rasier business, the Company has recognized adverse prior year development of $114.2 million on the reserves subject to the Commercial Auto LPT, bringing the cumulative amount ceded under the Commercial Auto LPT to $459.3 million at December 31, 2024.</w:t>
      </w:r>
    </w:p>
    <w:p>
      <w:pPr>
        <w:spacing w:after="0" w:line="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Each of Rasier and Aleka are required to post collateral under the Indemnity Agreements and the Commercial Auto LPT:</w:t>
      </w:r>
    </w:p>
    <w:p>
      <w:pPr>
        <w:spacing w:after="0" w:line="115" w:lineRule="exact"/>
        <w:rPr>
          <w:sz w:val="20"/>
          <w:szCs w:val="20"/>
          <w:color w:val="auto"/>
        </w:rPr>
      </w:pPr>
    </w:p>
    <w:p>
      <w:pPr>
        <w:ind w:right="140" w:firstLine="370"/>
        <w:spacing w:after="0" w:line="253"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(as defined below) loss and loss adjustment expense reserves, extra contractual obligations and excess policy limits liabilities. The collateral is provided through a collateral trust arrangement (the “Indemnity Trust”) in favor of James River by Aleka. In connection with the execution of the Commercial Auto LPT, James River returned $691.3 million to the Indemnity Trust, representing the remaining balance of the amount withdrawn in October 2019, as was permitted under the indemnification agreements with Rasier and the associated trust agreement. At December 31, 2024, the balance in the Indemnity Trust was $64.7 million, and, together with the balance of the Loss Fund Trust (as defined below) attributable to the Indemnity Agreements as described below, the total balance of collateral securing Rasier’s obligations under the Indemnity Agreements was $82.1 million.</w:t>
      </w:r>
    </w:p>
    <w:p>
      <w:pPr>
        <w:spacing w:after="0" w:line="81" w:lineRule="exact"/>
        <w:rPr>
          <w:rFonts w:ascii="Times New Roman" w:cs="Times New Roman" w:eastAsia="Times New Roman" w:hAnsi="Times New Roman"/>
          <w:sz w:val="18"/>
          <w:szCs w:val="18"/>
          <w:color w:val="auto"/>
        </w:rPr>
      </w:pPr>
    </w:p>
    <w:p>
      <w:pPr>
        <w:ind w:firstLine="370"/>
        <w:spacing w:after="0" w:line="280"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Commercial Auto LPT, Aleka is required to post collateral equal to 102% of James River's estimate of Aleka's obligations under the Commercial Auto LPT, calculated in accordance with standard actuarial principles and based 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reserves recorded in the Company's statutory financial statements. The collateral is provided through a collateral trust arrangement (the “LPT Trust”) established in favor of James River by Aleka. At December 31, 2024, the balance in the LPT Trust was $30.1 million, and, together with the balance of the Loss Fund Trust (as defined below) attributable to the Commercial Auto LPT as described below, the total balance of collateral securing Aleka’s obligations under the Commercial Auto LPT was $37.8 million. At December 31, 2024, the total reinsurance recoverables under the Commercial Auto LPT was $36.6 million.</w:t>
      </w:r>
    </w:p>
    <w:p>
      <w:pPr>
        <w:spacing w:after="0" w:line="79" w:lineRule="exact"/>
        <w:rPr>
          <w:sz w:val="20"/>
          <w:szCs w:val="20"/>
          <w:color w:val="auto"/>
        </w:rPr>
      </w:pPr>
    </w:p>
    <w:p>
      <w:pPr>
        <w:ind w:firstLine="363"/>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December 31, 2024, the balance in the Loss Fund Trust was $28.7 million, including $17.4 million representing collateral supporting Rasier’s obligations under the Indemnity Agreements and $7.7 million representing collateral supporting Aleka’s obligations under the Commercial Auto LPT. Funds posted to the Loss Fund Trust are classified as restricted cash equivalents on the Company's balance sheet.</w:t>
      </w:r>
    </w:p>
    <w:p>
      <w:pPr>
        <w:spacing w:after="0" w:line="84" w:lineRule="exact"/>
        <w:rPr>
          <w:sz w:val="20"/>
          <w:szCs w:val="20"/>
          <w:color w:val="auto"/>
        </w:rPr>
      </w:pPr>
    </w:p>
    <w:p>
      <w:pPr>
        <w:ind w:right="20" w:firstLine="363"/>
        <w:spacing w:after="0" w:line="253" w:lineRule="auto"/>
        <w:rPr>
          <w:sz w:val="20"/>
          <w:szCs w:val="20"/>
          <w:color w:val="auto"/>
        </w:rPr>
      </w:pPr>
      <w:r>
        <w:rPr>
          <w:rFonts w:ascii="Times New Roman" w:cs="Times New Roman" w:eastAsia="Times New Roman" w:hAnsi="Times New Roman"/>
          <w:sz w:val="18"/>
          <w:szCs w:val="18"/>
          <w:color w:val="auto"/>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our collateral balances. In addition, the Company has credit exposure if its estimates of future losses and loss adjustment expenses and other amounts recoverable under the Indemnity Agreements and the Commercial Auto LPT, which are the basis for establishing the collateral balances, are lower than actual amounts paid or payable. The amount of credit exposure in any of these instances could be material. To mitigate these risks, the Company closely and frequently monitors exposure compared to collateral held, and requests additional collateral in accordance with the terms of the Commercial Auto LPT and Indemnity Agreements when its analysis indicates that the Company has uncollateralized exposure.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 Policy</w:t>
      </w:r>
    </w:p>
    <w:p>
      <w:pPr>
        <w:spacing w:after="0" w:line="119" w:lineRule="exact"/>
        <w:rPr>
          <w:sz w:val="20"/>
          <w:szCs w:val="20"/>
          <w:color w:val="auto"/>
        </w:rPr>
      </w:pPr>
    </w:p>
    <w:p>
      <w:pPr>
        <w:ind w:firstLine="323"/>
        <w:spacing w:after="0" w:line="275" w:lineRule="auto"/>
        <w:rPr>
          <w:sz w:val="20"/>
          <w:szCs w:val="20"/>
          <w:color w:val="auto"/>
        </w:rPr>
      </w:pPr>
      <w:r>
        <w:rPr>
          <w:rFonts w:ascii="Times New Roman" w:cs="Times New Roman" w:eastAsia="Times New Roman" w:hAnsi="Times New Roman"/>
          <w:sz w:val="17"/>
          <w:szCs w:val="17"/>
          <w:color w:val="auto"/>
        </w:rPr>
        <w:t xml:space="preserve">We seek to establish reserves that will adequately meet our obligations. All of our reserving actuaries are credentialed. We engage independent actuarial consultants to perform independent valuations to corroborate our decisions regarding reserves. Anticipated inflation is reflected implicitly in the reserving process through analysis of cost trends and the review of historical development. We do not discount our reserves for losses and loss adjustment expenses to reflect estimated present value. </w:t>
      </w:r>
      <w:r>
        <w:rPr>
          <w:rFonts w:ascii="Times New Roman" w:cs="Times New Roman" w:eastAsia="Times New Roman" w:hAnsi="Times New Roman"/>
          <w:sz w:val="17"/>
          <w:szCs w:val="17"/>
          <w:color w:val="030303"/>
        </w:rPr>
        <w:t>All of our methods to calculate net reserves include assumptions about estimated reinsurance recoveries and their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30303"/>
        </w:rPr>
        <w:t>collectability</w:t>
      </w:r>
      <w:r>
        <w:rPr>
          <w:rFonts w:ascii="Times New Roman" w:cs="Times New Roman" w:eastAsia="Times New Roman" w:hAnsi="Times New Roman"/>
          <w:sz w:val="17"/>
          <w:szCs w:val="17"/>
          <w:color w:val="464646"/>
        </w:rPr>
        <w:t>.</w:t>
      </w:r>
      <w:r>
        <w:rPr>
          <w:rFonts w:ascii="Times New Roman" w:cs="Times New Roman" w:eastAsia="Times New Roman" w:hAnsi="Times New Roman"/>
          <w:sz w:val="17"/>
          <w:szCs w:val="17"/>
          <w:color w:val="030303"/>
        </w:rPr>
        <w:t xml:space="preserve"> Reinsurance collectability is evaluated independently of the reserving process and appropriate allowances for credit losses are established.</w:t>
      </w:r>
    </w:p>
    <w:p>
      <w:pPr>
        <w:spacing w:after="0" w:line="62" w:lineRule="exact"/>
        <w:rPr>
          <w:sz w:val="20"/>
          <w:szCs w:val="20"/>
          <w:color w:val="auto"/>
        </w:rPr>
      </w:pPr>
    </w:p>
    <w:p>
      <w:pPr>
        <w:ind w:firstLine="323"/>
        <w:spacing w:after="0" w:line="256" w:lineRule="auto"/>
        <w:rPr>
          <w:sz w:val="20"/>
          <w:szCs w:val="20"/>
          <w:color w:val="auto"/>
        </w:rPr>
      </w:pPr>
      <w:r>
        <w:rPr>
          <w:rFonts w:ascii="Times New Roman" w:cs="Times New Roman" w:eastAsia="Times New Roman" w:hAnsi="Times New Roman"/>
          <w:sz w:val="18"/>
          <w:szCs w:val="18"/>
          <w:color w:val="auto"/>
        </w:rPr>
        <w:t>We maintain reserves for specific claims incurred and reported and reserves for claims incurred but not reported (“IBNR”). The process of establishing loss reserves is complex and inherently imprecise because it must take into consideration many variables that are subject to the outcome of future events</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auto"/>
        </w:rPr>
        <w:t xml:space="preserve"> As a result, informed subjective estimates and judgments about our ultimate exposure to losses are an integral component of our loss reserving process</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auto"/>
        </w:rPr>
        <w:t xml:space="preserve"> Given that loss reserve estimates depend on the outcome of future events</w:t>
      </w:r>
      <w:r>
        <w:rPr>
          <w:rFonts w:ascii="Times New Roman" w:cs="Times New Roman" w:eastAsia="Times New Roman" w:hAnsi="Times New Roman"/>
          <w:sz w:val="18"/>
          <w:szCs w:val="18"/>
          <w:color w:val="3B3B3F"/>
        </w:rPr>
        <w:t>,</w:t>
      </w:r>
      <w:r>
        <w:rPr>
          <w:rFonts w:ascii="Times New Roman" w:cs="Times New Roman" w:eastAsia="Times New Roman" w:hAnsi="Times New Roman"/>
          <w:sz w:val="18"/>
          <w:szCs w:val="18"/>
          <w:color w:val="auto"/>
        </w:rPr>
        <w:t xml:space="preserve"> changes in prior year estimates are generally unavoidable in the insurance industry</w:t>
      </w:r>
      <w:r>
        <w:rPr>
          <w:rFonts w:ascii="Times New Roman" w:cs="Times New Roman" w:eastAsia="Times New Roman" w:hAnsi="Times New Roman"/>
          <w:sz w:val="18"/>
          <w:szCs w:val="18"/>
          <w:color w:val="3B3B3F"/>
        </w:rPr>
        <w:t>.</w:t>
      </w:r>
      <w:r>
        <w:rPr>
          <w:rFonts w:ascii="Times New Roman" w:cs="Times New Roman" w:eastAsia="Times New Roman" w:hAnsi="Times New Roman"/>
          <w:sz w:val="18"/>
          <w:szCs w:val="18"/>
          <w:color w:val="auto"/>
        </w:rPr>
        <w:t xml:space="preserve"> These changes are sometimes referred to as </w:t>
      </w:r>
      <w:r>
        <w:rPr>
          <w:rFonts w:ascii="Times New Roman" w:cs="Times New Roman" w:eastAsia="Times New Roman" w:hAnsi="Times New Roman"/>
          <w:sz w:val="18"/>
          <w:szCs w:val="18"/>
          <w:color w:val="262626"/>
        </w:rPr>
        <w:t>"prior</w:t>
      </w:r>
      <w:r>
        <w:rPr>
          <w:rFonts w:ascii="Times New Roman" w:cs="Times New Roman" w:eastAsia="Times New Roman" w:hAnsi="Times New Roman"/>
          <w:sz w:val="18"/>
          <w:szCs w:val="18"/>
          <w:color w:val="auto"/>
        </w:rPr>
        <w:t xml:space="preserve"> year loss development" or </w:t>
      </w:r>
      <w:r>
        <w:rPr>
          <w:rFonts w:ascii="Times New Roman" w:cs="Times New Roman" w:eastAsia="Times New Roman" w:hAnsi="Times New Roman"/>
          <w:sz w:val="18"/>
          <w:szCs w:val="18"/>
          <w:color w:val="3B3B3F"/>
        </w:rPr>
        <w:t>"</w:t>
      </w:r>
      <w:r>
        <w:rPr>
          <w:rFonts w:ascii="Times New Roman" w:cs="Times New Roman" w:eastAsia="Times New Roman" w:hAnsi="Times New Roman"/>
          <w:sz w:val="18"/>
          <w:szCs w:val="18"/>
          <w:color w:val="auto"/>
        </w:rPr>
        <w:t>reserve development" and are included in current operations.</w:t>
      </w:r>
    </w:p>
    <w:p>
      <w:pPr>
        <w:spacing w:after="0" w:line="79" w:lineRule="exact"/>
        <w:rPr>
          <w:sz w:val="20"/>
          <w:szCs w:val="20"/>
          <w:color w:val="auto"/>
        </w:rPr>
      </w:pPr>
    </w:p>
    <w:p>
      <w:pPr>
        <w:ind w:right="660" w:firstLine="323"/>
        <w:spacing w:after="0" w:line="280" w:lineRule="auto"/>
        <w:rPr>
          <w:sz w:val="20"/>
          <w:szCs w:val="20"/>
          <w:color w:val="auto"/>
        </w:rPr>
      </w:pPr>
      <w:r>
        <w:rPr>
          <w:rFonts w:ascii="Times New Roman" w:cs="Times New Roman" w:eastAsia="Times New Roman" w:hAnsi="Times New Roman"/>
          <w:sz w:val="18"/>
          <w:szCs w:val="18"/>
          <w:color w:val="auto"/>
        </w:rPr>
        <w:t>We continually monitor reserves using the most recent information on reported claims and a variety of statistical techniques, and we adjust our estimates as experience develops or new information becomes known.</w:t>
      </w:r>
    </w:p>
    <w:p>
      <w:pPr>
        <w:spacing w:after="0" w:line="55" w:lineRule="exact"/>
        <w:rPr>
          <w:sz w:val="20"/>
          <w:szCs w:val="20"/>
          <w:color w:val="auto"/>
        </w:rPr>
      </w:pPr>
    </w:p>
    <w:p>
      <w:pPr>
        <w:ind w:right="20" w:firstLine="323"/>
        <w:spacing w:after="0" w:line="256" w:lineRule="auto"/>
        <w:rPr>
          <w:sz w:val="20"/>
          <w:szCs w:val="20"/>
          <w:color w:val="auto"/>
        </w:rPr>
      </w:pPr>
      <w:r>
        <w:rPr>
          <w:rFonts w:ascii="Times New Roman" w:cs="Times New Roman" w:eastAsia="Times New Roman" w:hAnsi="Times New Roman"/>
          <w:sz w:val="18"/>
          <w:szCs w:val="18"/>
          <w:color w:val="auto"/>
        </w:rPr>
        <w:t>In many cases, several years may elapse between the occurrence of an insured loss, the reporting of the loss and our eventual payment of the loss. We establish loss and loss adjustment expense reserves for the ultimate payment of all losses and loss adjustment expenses incurred. We estimate the reserve for losses and loss adjustment expenses using individual case-basis valuations of reported claims. We also use statistical analyses to estimate the cost of losses that have been incurred but not reported to us. These estimates are based on historical information and on estimates of future trends that may affect the frequency of claims and changes in the average cost of claims that may arise in the future. We also consider various factors such as:</w:t>
      </w:r>
    </w:p>
    <w:p>
      <w:pPr>
        <w:spacing w:after="0" w:line="79" w:lineRule="exact"/>
        <w:rPr>
          <w:sz w:val="20"/>
          <w:szCs w:val="20"/>
          <w:color w:val="auto"/>
        </w:rPr>
      </w:pPr>
    </w:p>
    <w:p>
      <w:pPr>
        <w:ind w:left="560" w:hanging="230"/>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line and volume of business;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emergence and insured reporting patterns;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policy terms and conditions;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80" w:hanging="250"/>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exposure mix;</w:t>
      </w:r>
    </w:p>
    <w:p>
      <w:pPr>
        <w:spacing w:after="0" w:line="115" w:lineRule="exact"/>
        <w:rPr>
          <w:rFonts w:ascii="Times New Roman" w:cs="Times New Roman" w:eastAsia="Times New Roman" w:hAnsi="Times New Roman"/>
          <w:sz w:val="18"/>
          <w:szCs w:val="18"/>
          <w:color w:val="auto"/>
        </w:rPr>
      </w:pPr>
    </w:p>
    <w:p>
      <w:pPr>
        <w:ind w:left="560" w:hanging="230"/>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claim frequency and severity;</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operations and claims practices;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economic and social trends;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and litigation environments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Discussions with third-party actuarial consultants; and</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Reinsurance structures.</w:t>
      </w:r>
    </w:p>
    <w:p>
      <w:pPr>
        <w:spacing w:after="0" w:line="115" w:lineRule="exact"/>
        <w:rPr>
          <w:sz w:val="20"/>
          <w:szCs w:val="20"/>
          <w:color w:val="auto"/>
        </w:rPr>
      </w:pPr>
    </w:p>
    <w:p>
      <w:pPr>
        <w:ind w:right="80" w:firstLine="323"/>
        <w:spacing w:after="0" w:line="264" w:lineRule="auto"/>
        <w:rPr>
          <w:sz w:val="20"/>
          <w:szCs w:val="20"/>
          <w:color w:val="auto"/>
        </w:rPr>
      </w:pPr>
      <w:r>
        <w:rPr>
          <w:rFonts w:ascii="Times New Roman" w:cs="Times New Roman" w:eastAsia="Times New Roman" w:hAnsi="Times New Roman"/>
          <w:sz w:val="18"/>
          <w:szCs w:val="18"/>
          <w:color w:val="auto"/>
        </w:rPr>
        <w:t>The procedures we use to estimate loss reserves assume that past experience, adjusted for the effects of current developments and anticipated trends, is an appropriate basis for predicting future events. It also assumes that adequate historical or other data exists upon which to make these judgments. These estimates are by their nature subjective and imprecise, and ultimate losses and loss adjustment expenses may vary from established reserves.</w:t>
      </w:r>
    </w:p>
    <w:p>
      <w:pPr>
        <w:spacing w:after="0" w:line="69" w:lineRule="exact"/>
        <w:rPr>
          <w:sz w:val="20"/>
          <w:szCs w:val="20"/>
          <w:color w:val="auto"/>
        </w:rPr>
      </w:pPr>
    </w:p>
    <w:p>
      <w:pPr>
        <w:ind w:firstLine="323"/>
        <w:spacing w:after="0" w:line="253" w:lineRule="auto"/>
        <w:rPr>
          <w:sz w:val="20"/>
          <w:szCs w:val="20"/>
          <w:color w:val="auto"/>
        </w:rPr>
      </w:pPr>
      <w:r>
        <w:rPr>
          <w:rFonts w:ascii="Times New Roman" w:cs="Times New Roman" w:eastAsia="Times New Roman" w:hAnsi="Times New Roman"/>
          <w:sz w:val="18"/>
          <w:szCs w:val="18"/>
          <w:color w:val="auto"/>
        </w:rPr>
        <w:t>Our Reserve Committee consists of our Chief Executive Officer, Chief Financial Officer, Chief Accounting Officer, and Chief Actuary. Additionally, the presidents, chief financial officers and segment actuaries of each of our insurance segments participate in the Reserve Committee meetings for their respective segments. The Reserve Committee meets quarterly to review the actuarial recommendations made by each segment actuary and use their best judgment to determine the best estimate to be recorded for the reserve for losses and loss adjustment expenses on our balance sheet. The Company also engages an independent internationally recognized actuarial consulting firm to review the Company’s reserve estimates in the third and fourth quarters of each year. This independent actuarial consulting firm prepares its own estimate of the reserve for losses and loss adjustment expenses, and we compare their estimate to the reserve for losses and loss adjustment expenses reviewed and approved by the Reserve Committee in order to corroborate the adequacy of our reserves.</w:t>
      </w:r>
    </w:p>
    <w:p>
      <w:pPr>
        <w:spacing w:after="0" w:line="82" w:lineRule="exact"/>
        <w:rPr>
          <w:sz w:val="20"/>
          <w:szCs w:val="20"/>
          <w:color w:val="auto"/>
        </w:rPr>
      </w:pPr>
    </w:p>
    <w:p>
      <w:pPr>
        <w:ind w:right="120" w:firstLine="323"/>
        <w:spacing w:after="0" w:line="280" w:lineRule="auto"/>
        <w:rPr>
          <w:sz w:val="20"/>
          <w:szCs w:val="20"/>
          <w:color w:val="auto"/>
        </w:rPr>
      </w:pPr>
      <w:r>
        <w:rPr>
          <w:rFonts w:ascii="Times New Roman" w:cs="Times New Roman" w:eastAsia="Times New Roman" w:hAnsi="Times New Roman"/>
          <w:sz w:val="18"/>
          <w:szCs w:val="18"/>
          <w:color w:val="auto"/>
        </w:rPr>
        <w:t>The following table reflects our net favorable (adverse) reserve development by segment for our continuing operations during the calendar years 2024 to 2015 individually and in aggregate.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34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28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Surplus Lines</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Calendar Year</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2"/>
              <w:spacing w:after="0" w:line="229" w:lineRule="exact"/>
              <w:rPr>
                <w:sz w:val="20"/>
                <w:szCs w:val="20"/>
                <w:color w:val="auto"/>
              </w:rPr>
            </w:pPr>
            <w:r>
              <w:rPr>
                <w:rFonts w:ascii="Times New Roman" w:cs="Times New Roman" w:eastAsia="Times New Roman" w:hAnsi="Times New Roman"/>
                <w:sz w:val="18"/>
                <w:szCs w:val="18"/>
                <w:color w:val="auto"/>
              </w:rPr>
              <w:t xml:space="preserve">(76,686) </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(76,079)</w:t>
            </w:r>
          </w:p>
        </w:tc>
        <w:tc>
          <w:tcPr>
            <w:tcW w:w="0" w:type="dxa"/>
            <w:vAlign w:val="bottom"/>
          </w:tcPr>
          <w:p>
            <w:pPr>
              <w:spacing w:after="0"/>
              <w:rPr>
                <w:sz w:val="1"/>
                <w:szCs w:val="1"/>
                <w:color w:val="auto"/>
              </w:rPr>
            </w:pPr>
          </w:p>
        </w:tc>
      </w:tr>
      <w:tr>
        <w:trPr>
          <w:trHeight w:val="228"/>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(32,608)</w:t>
            </w:r>
          </w:p>
        </w:tc>
        <w:tc>
          <w:tcPr>
            <w:tcW w:w="4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w w:val="99"/>
              </w:rPr>
              <w:t>(2)</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(31,636)</w:t>
            </w:r>
          </w:p>
        </w:tc>
        <w:tc>
          <w:tcPr>
            <w:tcW w:w="0" w:type="dxa"/>
            <w:vAlign w:val="bottom"/>
          </w:tcPr>
          <w:p>
            <w:pPr>
              <w:spacing w:after="0"/>
              <w:rPr>
                <w:sz w:val="1"/>
                <w:szCs w:val="1"/>
                <w:color w:val="auto"/>
              </w:rPr>
            </w:pPr>
          </w:p>
        </w:tc>
      </w:tr>
      <w:tr>
        <w:trPr>
          <w:trHeight w:val="228"/>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0" w:type="dxa"/>
            <w:vAlign w:val="bottom"/>
          </w:tcPr>
          <w:p>
            <w:pPr>
              <w:spacing w:after="0"/>
              <w:rPr>
                <w:sz w:val="1"/>
                <w:szCs w:val="1"/>
                <w:color w:val="auto"/>
              </w:rPr>
            </w:pPr>
          </w:p>
        </w:tc>
      </w:tr>
      <w:tr>
        <w:trPr>
          <w:trHeight w:val="228"/>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(190,710)</w:t>
            </w:r>
          </w:p>
        </w:tc>
        <w:tc>
          <w:tcPr>
            <w:tcW w:w="4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w w:val="99"/>
              </w:rPr>
              <w:t>(3)</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(188,210)</w:t>
            </w:r>
          </w:p>
        </w:tc>
        <w:tc>
          <w:tcPr>
            <w:tcW w:w="0" w:type="dxa"/>
            <w:vAlign w:val="bottom"/>
          </w:tcPr>
          <w:p>
            <w:pPr>
              <w:spacing w:after="0"/>
              <w:rPr>
                <w:sz w:val="1"/>
                <w:szCs w:val="1"/>
                <w:color w:val="auto"/>
              </w:rPr>
            </w:pPr>
          </w:p>
        </w:tc>
      </w:tr>
      <w:tr>
        <w:trPr>
          <w:trHeight w:val="228"/>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(59,437)</w:t>
            </w:r>
          </w:p>
        </w:tc>
        <w:tc>
          <w:tcPr>
            <w:tcW w:w="40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w w:val="99"/>
              </w:rPr>
              <w:t>(4)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(54,426)</w:t>
            </w:r>
          </w:p>
        </w:tc>
        <w:tc>
          <w:tcPr>
            <w:tcW w:w="0" w:type="dxa"/>
            <w:vAlign w:val="bottom"/>
          </w:tcPr>
          <w:p>
            <w:pPr>
              <w:spacing w:after="0"/>
              <w:rPr>
                <w:sz w:val="1"/>
                <w:szCs w:val="1"/>
                <w:color w:val="auto"/>
              </w:rPr>
            </w:pPr>
          </w:p>
        </w:tc>
      </w:tr>
      <w:tr>
        <w:trPr>
          <w:trHeight w:val="228"/>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(51,173)</w:t>
            </w:r>
          </w:p>
        </w:tc>
        <w:tc>
          <w:tcPr>
            <w:tcW w:w="4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w w:val="99"/>
              </w:rPr>
              <w:t>(5)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(45,921)</w:t>
            </w:r>
          </w:p>
        </w:tc>
        <w:tc>
          <w:tcPr>
            <w:tcW w:w="0" w:type="dxa"/>
            <w:vAlign w:val="bottom"/>
          </w:tcPr>
          <w:p>
            <w:pPr>
              <w:spacing w:after="0"/>
              <w:rPr>
                <w:sz w:val="1"/>
                <w:szCs w:val="1"/>
                <w:color w:val="auto"/>
              </w:rPr>
            </w:pPr>
          </w:p>
        </w:tc>
      </w:tr>
      <w:tr>
        <w:trPr>
          <w:trHeight w:val="228"/>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(15,012)</w:t>
            </w:r>
          </w:p>
        </w:tc>
        <w:tc>
          <w:tcPr>
            <w:tcW w:w="40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w w:val="99"/>
              </w:rPr>
              <w:t>(6)</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0" w:type="dxa"/>
            <w:vAlign w:val="bottom"/>
          </w:tcPr>
          <w:p>
            <w:pPr>
              <w:spacing w:after="0"/>
              <w:rPr>
                <w:sz w:val="1"/>
                <w:szCs w:val="1"/>
                <w:color w:val="auto"/>
              </w:rPr>
            </w:pPr>
          </w:p>
        </w:tc>
      </w:tr>
      <w:tr>
        <w:trPr>
          <w:trHeight w:val="228"/>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(20,023)</w:t>
            </w:r>
          </w:p>
        </w:tc>
        <w:tc>
          <w:tcPr>
            <w:tcW w:w="4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w w:val="99"/>
              </w:rPr>
              <w:t>(7)</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(17,302)</w:t>
            </w:r>
          </w:p>
        </w:tc>
        <w:tc>
          <w:tcPr>
            <w:tcW w:w="0" w:type="dxa"/>
            <w:vAlign w:val="bottom"/>
          </w:tcPr>
          <w:p>
            <w:pPr>
              <w:spacing w:after="0"/>
              <w:rPr>
                <w:sz w:val="1"/>
                <w:szCs w:val="1"/>
                <w:color w:val="auto"/>
              </w:rPr>
            </w:pPr>
          </w:p>
        </w:tc>
      </w:tr>
      <w:tr>
        <w:trPr>
          <w:trHeight w:val="228"/>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24,079</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27,901</w:t>
            </w:r>
          </w:p>
        </w:tc>
        <w:tc>
          <w:tcPr>
            <w:tcW w:w="0" w:type="dxa"/>
            <w:vAlign w:val="bottom"/>
          </w:tcPr>
          <w:p>
            <w:pPr>
              <w:spacing w:after="0"/>
              <w:rPr>
                <w:sz w:val="1"/>
                <w:szCs w:val="1"/>
                <w:color w:val="auto"/>
              </w:rPr>
            </w:pPr>
          </w:p>
        </w:tc>
      </w:tr>
      <w:tr>
        <w:trPr>
          <w:trHeight w:val="228"/>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25,424</w:t>
            </w:r>
          </w:p>
        </w:tc>
        <w:tc>
          <w:tcPr>
            <w:tcW w:w="4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28,955</w:t>
            </w:r>
          </w:p>
        </w:tc>
        <w:tc>
          <w:tcPr>
            <w:tcW w:w="0" w:type="dxa"/>
            <w:vAlign w:val="bottom"/>
          </w:tcPr>
          <w:p>
            <w:pPr>
              <w:spacing w:after="0"/>
              <w:rPr>
                <w:sz w:val="1"/>
                <w:szCs w:val="1"/>
                <w:color w:val="auto"/>
              </w:rPr>
            </w:pPr>
          </w:p>
        </w:tc>
      </w:tr>
      <w:tr>
        <w:trPr>
          <w:trHeight w:val="222"/>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Cumulative Development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(395,936)</w:t>
            </w:r>
          </w:p>
        </w:tc>
        <w:tc>
          <w:tcPr>
            <w:tcW w:w="4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34,126</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(361,810)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2860" w:type="dxa"/>
            <w:vAlign w:val="bottom"/>
            <w:tcBorders>
              <w:bottom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-1978660</wp:posOffset>
            </wp:positionV>
            <wp:extent cx="1111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0" w:lineRule="exact"/>
        <w:rPr>
          <w:sz w:val="20"/>
          <w:szCs w:val="20"/>
          <w:color w:val="auto"/>
        </w:rPr>
      </w:pPr>
    </w:p>
    <w:p>
      <w:pPr>
        <w:ind w:left="400" w:hanging="393"/>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$52.2 million reserve charge upon execution of the E&amp;S ADC (consideration paid in excess of initial reserves).</w:t>
      </w:r>
    </w:p>
    <w:p>
      <w:pPr>
        <w:spacing w:after="0" w:line="115" w:lineRule="exact"/>
        <w:rPr>
          <w:rFonts w:ascii="Times New Roman" w:cs="Times New Roman" w:eastAsia="Times New Roman" w:hAnsi="Times New Roman"/>
          <w:sz w:val="18"/>
          <w:szCs w:val="18"/>
          <w:color w:val="auto"/>
        </w:rPr>
      </w:pPr>
    </w:p>
    <w:p>
      <w:pPr>
        <w:ind w:left="400" w:hanging="393"/>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adverse development in accident years 2020 and prior exceeding favorable development on accident years 2022 and 2021.</w:t>
      </w:r>
    </w:p>
    <w:p>
      <w:pPr>
        <w:spacing w:after="0" w:line="115" w:lineRule="exact"/>
        <w:rPr>
          <w:rFonts w:ascii="Times New Roman" w:cs="Times New Roman" w:eastAsia="Times New Roman" w:hAnsi="Times New Roman"/>
          <w:sz w:val="18"/>
          <w:szCs w:val="18"/>
          <w:color w:val="auto"/>
        </w:rPr>
      </w:pPr>
    </w:p>
    <w:p>
      <w:pPr>
        <w:ind w:left="340" w:right="20" w:hanging="333"/>
        <w:spacing w:after="0" w:line="280" w:lineRule="auto"/>
        <w:tabs>
          <w:tab w:leader="none" w:pos="4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$200.1 million of adverse development in the commercial auto line of business that was primarily related to the 2019 and prior contract years with Rasier, partially offset by $9.4 million of favorable development from other divisions.</w:t>
      </w:r>
    </w:p>
    <w:p>
      <w:pPr>
        <w:spacing w:after="0" w:line="54" w:lineRule="exact"/>
        <w:rPr>
          <w:rFonts w:ascii="Times New Roman" w:cs="Times New Roman" w:eastAsia="Times New Roman" w:hAnsi="Times New Roman"/>
          <w:sz w:val="18"/>
          <w:szCs w:val="18"/>
          <w:color w:val="auto"/>
        </w:rPr>
      </w:pPr>
    </w:p>
    <w:p>
      <w:pPr>
        <w:ind w:left="340" w:right="120" w:hanging="333"/>
        <w:spacing w:after="0" w:line="280" w:lineRule="auto"/>
        <w:tabs>
          <w:tab w:leader="none" w:pos="4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$91.4 million of adverse development in the commercial auto line of business that was primarily related to the 2018 and prior contract years with Rasier, partially offset by $32.0 million of favorable development from other divisions.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right="140" w:hanging="333"/>
        <w:spacing w:after="0" w:line="280" w:lineRule="auto"/>
        <w:tabs>
          <w:tab w:leader="none" w:pos="4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$57.4 million of adverse development in the commercial auto line of business that was primarily related to the 2016 and 2017 contract years with Rasier, partially offset by $6.2 million of favorable development from other divisions.</w:t>
      </w:r>
    </w:p>
    <w:p>
      <w:pPr>
        <w:spacing w:after="0" w:line="54" w:lineRule="exact"/>
        <w:rPr>
          <w:rFonts w:ascii="Times New Roman" w:cs="Times New Roman" w:eastAsia="Times New Roman" w:hAnsi="Times New Roman"/>
          <w:sz w:val="18"/>
          <w:szCs w:val="18"/>
          <w:color w:val="auto"/>
        </w:rPr>
      </w:pPr>
    </w:p>
    <w:p>
      <w:pPr>
        <w:ind w:left="340" w:right="20" w:hanging="333"/>
        <w:spacing w:after="0" w:line="280" w:lineRule="auto"/>
        <w:tabs>
          <w:tab w:leader="none" w:pos="4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$20.7 million of adverse development in the commercial auto line of business that was primarily related to the 2016 contract year with Rasier, partially offset by $5.7 million of favorable development from other divisions.</w:t>
      </w:r>
    </w:p>
    <w:p>
      <w:pPr>
        <w:spacing w:after="0" w:line="54" w:lineRule="exact"/>
        <w:rPr>
          <w:rFonts w:ascii="Times New Roman" w:cs="Times New Roman" w:eastAsia="Times New Roman" w:hAnsi="Times New Roman"/>
          <w:sz w:val="18"/>
          <w:szCs w:val="18"/>
          <w:color w:val="auto"/>
        </w:rPr>
      </w:pPr>
    </w:p>
    <w:p>
      <w:pPr>
        <w:ind w:left="340" w:right="20" w:hanging="333"/>
        <w:spacing w:after="0" w:line="280" w:lineRule="auto"/>
        <w:tabs>
          <w:tab w:leader="none" w:pos="4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$38.7 million of adverse development in the commercial auto line of business that was primarily related to the 2016 contract year with Rasier, partially offset by $18.6 million of favorable development from other divisions primarily from the 2014 through 2016 accident years.</w:t>
      </w:r>
    </w:p>
    <w:p>
      <w:pPr>
        <w:spacing w:after="0" w:line="55" w:lineRule="exact"/>
        <w:rPr>
          <w:sz w:val="20"/>
          <w:szCs w:val="20"/>
          <w:color w:val="auto"/>
        </w:rPr>
      </w:pPr>
    </w:p>
    <w:p>
      <w:pPr>
        <w:ind w:right="140" w:firstLine="323"/>
        <w:spacing w:after="0" w:line="287" w:lineRule="auto"/>
        <w:rPr>
          <w:sz w:val="20"/>
          <w:szCs w:val="20"/>
          <w:color w:val="auto"/>
        </w:rPr>
      </w:pPr>
      <w:r>
        <w:rPr>
          <w:rFonts w:ascii="Times New Roman" w:cs="Times New Roman" w:eastAsia="Times New Roman" w:hAnsi="Times New Roman"/>
          <w:sz w:val="17"/>
          <w:szCs w:val="17"/>
          <w:color w:val="auto"/>
        </w:rPr>
        <w:t>Among the indicators of reserve strength that we monitor is the amount of IBNR reserves held on our balance sheet for claims that have been incurred but not yet reported. The table below sets forth our IBNR, total gross reserves and the percentage that IBNR represents of the total gross reserves, in each case by segment and in the aggregate, at December 31, 2024. The percentage that IBNR represents of total gross reserves at December 31, 2024 is 73.3%.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60" w:type="dxa"/>
            <w:vAlign w:val="bottom"/>
            <w:gridSpan w:val="6"/>
          </w:tcPr>
          <w:p>
            <w:pPr>
              <w:ind w:left="840"/>
              <w:spacing w:after="0"/>
              <w:rPr>
                <w:sz w:val="20"/>
                <w:szCs w:val="20"/>
                <w:color w:val="auto"/>
              </w:rPr>
            </w:pPr>
            <w:r>
              <w:rPr>
                <w:rFonts w:ascii="Times New Roman" w:cs="Times New Roman" w:eastAsia="Times New Roman" w:hAnsi="Times New Roman"/>
                <w:sz w:val="14"/>
                <w:szCs w:val="14"/>
                <w:b w:val="1"/>
                <w:bCs w:val="1"/>
                <w:color w:val="auto"/>
              </w:rPr>
              <w:t>Gross Reserves at December 31, 2024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6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IBNR</w:t>
            </w:r>
          </w:p>
        </w:tc>
        <w:tc>
          <w:tcPr>
            <w:tcW w:w="200" w:type="dxa"/>
            <w:vAlign w:val="bottom"/>
          </w:tcPr>
          <w:p>
            <w:pPr>
              <w:spacing w:after="0"/>
              <w:rPr>
                <w:sz w:val="11"/>
                <w:szCs w:val="11"/>
                <w:color w:val="auto"/>
              </w:rPr>
            </w:pPr>
          </w:p>
        </w:tc>
        <w:tc>
          <w:tcPr>
            <w:tcW w:w="176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Pr>
          <w:p>
            <w:pPr>
              <w:jc w:val="right"/>
              <w:ind w:right="518"/>
              <w:spacing w:after="0" w:line="130" w:lineRule="exact"/>
              <w:rPr>
                <w:sz w:val="20"/>
                <w:szCs w:val="20"/>
                <w:color w:val="auto"/>
              </w:rPr>
            </w:pPr>
            <w:r>
              <w:rPr>
                <w:rFonts w:ascii="Times New Roman" w:cs="Times New Roman" w:eastAsia="Times New Roman" w:hAnsi="Times New Roman"/>
                <w:sz w:val="14"/>
                <w:szCs w:val="14"/>
                <w:b w:val="1"/>
                <w:bCs w:val="1"/>
                <w:color w:val="auto"/>
              </w:rPr>
              <w:t>IBNR</w:t>
            </w:r>
          </w:p>
        </w:tc>
        <w:tc>
          <w:tcPr>
            <w:tcW w:w="0" w:type="dxa"/>
            <w:vAlign w:val="bottom"/>
          </w:tcPr>
          <w:p>
            <w:pPr>
              <w:spacing w:after="0"/>
              <w:rPr>
                <w:sz w:val="1"/>
                <w:szCs w:val="1"/>
                <w:color w:val="auto"/>
              </w:rPr>
            </w:pPr>
          </w:p>
        </w:tc>
      </w:tr>
      <w:tr>
        <w:trPr>
          <w:trHeight w:val="193"/>
        </w:trPr>
        <w:tc>
          <w:tcPr>
            <w:tcW w:w="6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114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5"/>
        </w:trPr>
        <w:tc>
          <w:tcPr>
            <w:tcW w:w="66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1,776,589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2,226,038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0" w:type="dxa"/>
            <w:vAlign w:val="bottom"/>
          </w:tcPr>
          <w:p>
            <w:pPr>
              <w:spacing w:after="0"/>
              <w:rPr>
                <w:sz w:val="1"/>
                <w:szCs w:val="1"/>
                <w:color w:val="auto"/>
              </w:rPr>
            </w:pPr>
          </w:p>
        </w:tc>
      </w:tr>
      <w:tr>
        <w:trPr>
          <w:trHeight w:val="22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483,376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858,368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56.3 %</w:t>
            </w:r>
          </w:p>
        </w:tc>
        <w:tc>
          <w:tcPr>
            <w:tcW w:w="0" w:type="dxa"/>
            <w:vAlign w:val="bottom"/>
          </w:tcPr>
          <w:p>
            <w:pPr>
              <w:spacing w:after="0"/>
              <w:rPr>
                <w:sz w:val="1"/>
                <w:szCs w:val="1"/>
                <w:color w:val="auto"/>
              </w:rPr>
            </w:pPr>
          </w:p>
        </w:tc>
      </w:tr>
      <w:tr>
        <w:trPr>
          <w:trHeight w:val="22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2,259,965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3,084,406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The table below sets forth our IBNR, total net reserves (prior to the $1.2 million allowance for credit losses on reinsurance recoverables) and the percentage that IBNR represents of the total net reserves, in each case by segment and in the aggregate, at December 31, 2024. The percentage that IBNR represents of total net reserves at December 31, 2024 is 63.5%.</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6"/>
          </w:tcPr>
          <w:p>
            <w:pPr>
              <w:ind w:left="920"/>
              <w:spacing w:after="0"/>
              <w:rPr>
                <w:sz w:val="20"/>
                <w:szCs w:val="20"/>
                <w:color w:val="auto"/>
              </w:rPr>
            </w:pPr>
            <w:r>
              <w:rPr>
                <w:rFonts w:ascii="Times New Roman" w:cs="Times New Roman" w:eastAsia="Times New Roman" w:hAnsi="Times New Roman"/>
                <w:sz w:val="14"/>
                <w:szCs w:val="14"/>
                <w:b w:val="1"/>
                <w:bCs w:val="1"/>
                <w:color w:val="auto"/>
              </w:rPr>
              <w:t>Net Reserves at December 31, 2024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IBNR</w:t>
            </w:r>
          </w:p>
        </w:tc>
        <w:tc>
          <w:tcPr>
            <w:tcW w:w="200" w:type="dxa"/>
            <w:vAlign w:val="bottom"/>
          </w:tcPr>
          <w:p>
            <w:pPr>
              <w:spacing w:after="0"/>
              <w:rPr>
                <w:sz w:val="11"/>
                <w:szCs w:val="11"/>
                <w:color w:val="auto"/>
              </w:rPr>
            </w:pPr>
          </w:p>
        </w:tc>
        <w:tc>
          <w:tcPr>
            <w:tcW w:w="17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tcPr>
          <w:p>
            <w:pPr>
              <w:jc w:val="right"/>
              <w:ind w:right="518"/>
              <w:spacing w:after="0" w:line="128" w:lineRule="exact"/>
              <w:rPr>
                <w:sz w:val="20"/>
                <w:szCs w:val="20"/>
                <w:color w:val="auto"/>
              </w:rPr>
            </w:pPr>
            <w:r>
              <w:rPr>
                <w:rFonts w:ascii="Times New Roman" w:cs="Times New Roman" w:eastAsia="Times New Roman" w:hAnsi="Times New Roman"/>
                <w:sz w:val="14"/>
                <w:szCs w:val="14"/>
                <w:b w:val="1"/>
                <w:bCs w:val="1"/>
                <w:color w:val="auto"/>
              </w:rPr>
              <w:t>IBNR</w:t>
            </w:r>
          </w:p>
        </w:tc>
        <w:tc>
          <w:tcPr>
            <w:tcW w:w="0" w:type="dxa"/>
            <w:vAlign w:val="bottom"/>
          </w:tcPr>
          <w:p>
            <w:pPr>
              <w:spacing w:after="0"/>
              <w:rPr>
                <w:sz w:val="1"/>
                <w:szCs w:val="1"/>
                <w:color w:val="auto"/>
              </w:rPr>
            </w:pPr>
          </w:p>
        </w:tc>
      </w:tr>
      <w:tr>
        <w:trPr>
          <w:trHeight w:val="195"/>
        </w:trPr>
        <w:tc>
          <w:tcPr>
            <w:tcW w:w="6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118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612,823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946,465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0" w:type="dxa"/>
            <w:vAlign w:val="bottom"/>
          </w:tcPr>
          <w:p>
            <w:pPr>
              <w:spacing w:after="0"/>
              <w:rPr>
                <w:sz w:val="1"/>
                <w:szCs w:val="1"/>
                <w:color w:val="auto"/>
              </w:rPr>
            </w:pPr>
          </w:p>
        </w:tc>
      </w:tr>
      <w:tr>
        <w:trPr>
          <w:trHeight w:val="22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55.2 %</w:t>
            </w:r>
          </w:p>
        </w:tc>
        <w:tc>
          <w:tcPr>
            <w:tcW w:w="0" w:type="dxa"/>
            <w:vAlign w:val="bottom"/>
          </w:tcPr>
          <w:p>
            <w:pPr>
              <w:spacing w:after="0"/>
              <w:rPr>
                <w:sz w:val="1"/>
                <w:szCs w:val="1"/>
                <w:color w:val="auto"/>
              </w:rPr>
            </w:pPr>
          </w:p>
        </w:tc>
      </w:tr>
      <w:tr>
        <w:trPr>
          <w:trHeight w:val="22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690,058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1,086,278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significant portion of reported claims from prior policy years were closed at December 31, 2024 as shown below:</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Percentage of Claims Closed at December 31, 2024</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6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9"/>
              </w:rPr>
              <w:t>Specialty</w:t>
            </w:r>
          </w:p>
        </w:tc>
        <w:tc>
          <w:tcPr>
            <w:tcW w:w="152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Specialty</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164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15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Surplus Lines</w:t>
            </w:r>
          </w:p>
        </w:tc>
        <w:tc>
          <w:tcPr>
            <w:tcW w:w="162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Surplus Lines</w:t>
            </w:r>
          </w:p>
        </w:tc>
        <w:tc>
          <w:tcPr>
            <w:tcW w:w="164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5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80"/>
              <w:spacing w:after="0" w:line="148" w:lineRule="exact"/>
              <w:rPr>
                <w:sz w:val="20"/>
                <w:szCs w:val="20"/>
                <w:color w:val="auto"/>
              </w:rPr>
            </w:pPr>
            <w:r>
              <w:rPr>
                <w:rFonts w:ascii="Times New Roman" w:cs="Times New Roman" w:eastAsia="Times New Roman" w:hAnsi="Times New Roman"/>
                <w:sz w:val="14"/>
                <w:szCs w:val="14"/>
                <w:b w:val="1"/>
                <w:bCs w:val="1"/>
                <w:color w:val="auto"/>
              </w:rPr>
              <w:t>Segment Excluding</w:t>
            </w:r>
          </w:p>
        </w:tc>
        <w:tc>
          <w:tcPr>
            <w:tcW w:w="162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64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w w:val="99"/>
              </w:rPr>
              <w:t>Individual</w:t>
            </w:r>
          </w:p>
        </w:tc>
        <w:tc>
          <w:tcPr>
            <w:tcW w:w="15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Fronting</w:t>
            </w:r>
          </w:p>
        </w:tc>
        <w:tc>
          <w:tcPr>
            <w:tcW w:w="0" w:type="dxa"/>
            <w:vAlign w:val="bottom"/>
          </w:tcPr>
          <w:p>
            <w:pPr>
              <w:spacing w:after="0"/>
              <w:rPr>
                <w:sz w:val="1"/>
                <w:szCs w:val="1"/>
                <w:color w:val="auto"/>
              </w:rPr>
            </w:pPr>
          </w:p>
        </w:tc>
      </w:tr>
      <w:tr>
        <w:trPr>
          <w:trHeight w:val="134"/>
        </w:trPr>
        <w:tc>
          <w:tcPr>
            <w:tcW w:w="4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Policy Year</w:t>
            </w:r>
          </w:p>
        </w:tc>
        <w:tc>
          <w:tcPr>
            <w:tcW w:w="1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6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Risk Workers’</w:t>
            </w:r>
          </w:p>
        </w:tc>
        <w:tc>
          <w:tcPr>
            <w:tcW w:w="15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96"/>
        </w:trPr>
        <w:tc>
          <w:tcPr>
            <w:tcW w:w="4800" w:type="dxa"/>
            <w:vAlign w:val="bottom"/>
            <w:gridSpan w:val="2"/>
            <w:vMerge w:val="continue"/>
          </w:tcPr>
          <w:p>
            <w:pPr>
              <w:spacing w:after="0"/>
              <w:rPr>
                <w:sz w:val="17"/>
                <w:szCs w:val="17"/>
                <w:color w:val="auto"/>
              </w:rPr>
            </w:pP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Auto</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Auto</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8"/>
        </w:trPr>
        <w:tc>
          <w:tcPr>
            <w:tcW w:w="4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91.8 %</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99.4 %</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97.9 %</w:t>
            </w:r>
          </w:p>
        </w:tc>
        <w:tc>
          <w:tcPr>
            <w:tcW w:w="0" w:type="dxa"/>
            <w:vAlign w:val="bottom"/>
          </w:tcPr>
          <w:p>
            <w:pPr>
              <w:spacing w:after="0"/>
              <w:rPr>
                <w:sz w:val="1"/>
                <w:szCs w:val="1"/>
                <w:color w:val="auto"/>
              </w:rPr>
            </w:pPr>
          </w:p>
        </w:tc>
      </w:tr>
      <w:tr>
        <w:trPr>
          <w:trHeight w:val="22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96.2 %</w:t>
            </w:r>
          </w:p>
        </w:tc>
        <w:tc>
          <w:tcPr>
            <w:tcW w:w="0" w:type="dxa"/>
            <w:vAlign w:val="bottom"/>
          </w:tcPr>
          <w:p>
            <w:pPr>
              <w:spacing w:after="0"/>
              <w:rPr>
                <w:sz w:val="1"/>
                <w:szCs w:val="1"/>
                <w:color w:val="auto"/>
              </w:rPr>
            </w:pPr>
          </w:p>
        </w:tc>
      </w:tr>
      <w:tr>
        <w:trPr>
          <w:trHeight w:val="22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94.9 %</w:t>
            </w:r>
          </w:p>
        </w:tc>
        <w:tc>
          <w:tcPr>
            <w:tcW w:w="0" w:type="dxa"/>
            <w:vAlign w:val="bottom"/>
          </w:tcPr>
          <w:p>
            <w:pPr>
              <w:spacing w:after="0"/>
              <w:rPr>
                <w:sz w:val="1"/>
                <w:szCs w:val="1"/>
                <w:color w:val="auto"/>
              </w:rPr>
            </w:pPr>
          </w:p>
        </w:tc>
      </w:tr>
      <w:tr>
        <w:trPr>
          <w:trHeight w:val="22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90.4 %</w:t>
            </w:r>
          </w:p>
        </w:tc>
        <w:tc>
          <w:tcPr>
            <w:tcW w:w="0" w:type="dxa"/>
            <w:vAlign w:val="bottom"/>
          </w:tcPr>
          <w:p>
            <w:pPr>
              <w:spacing w:after="0"/>
              <w:rPr>
                <w:sz w:val="1"/>
                <w:szCs w:val="1"/>
                <w:color w:val="auto"/>
              </w:rPr>
            </w:pPr>
          </w:p>
        </w:tc>
      </w:tr>
      <w:tr>
        <w:trPr>
          <w:trHeight w:val="22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6088380</wp:posOffset>
            </wp:positionH>
            <wp:positionV relativeFrom="paragraph">
              <wp:posOffset>-733425</wp:posOffset>
            </wp:positionV>
            <wp:extent cx="679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-733425</wp:posOffset>
            </wp:positionV>
            <wp:extent cx="679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Strategy</w:t>
      </w:r>
    </w:p>
    <w:p>
      <w:pPr>
        <w:spacing w:after="0" w:line="119" w:lineRule="exact"/>
        <w:rPr>
          <w:sz w:val="20"/>
          <w:szCs w:val="20"/>
          <w:color w:val="auto"/>
        </w:rPr>
      </w:pPr>
    </w:p>
    <w:p>
      <w:pPr>
        <w:ind w:right="140" w:firstLine="323"/>
        <w:spacing w:after="0" w:line="256" w:lineRule="auto"/>
        <w:rPr>
          <w:sz w:val="20"/>
          <w:szCs w:val="20"/>
          <w:color w:val="auto"/>
        </w:rPr>
      </w:pPr>
      <w:r>
        <w:rPr>
          <w:rFonts w:ascii="Times New Roman" w:cs="Times New Roman" w:eastAsia="Times New Roman" w:hAnsi="Times New Roman"/>
          <w:sz w:val="18"/>
          <w:szCs w:val="18"/>
          <w:color w:val="auto"/>
        </w:rPr>
        <w:t>Our investment strategy seeks to generate stable investment income and contributions to growth in tangible equity, while providing sufficient liquidity to meet our claims and other obligations. We attempt to generate better than market average risk-adjusted returns in our investment portfolio by taking measured risks based upon detailed knowledge of certain niche asset classes. While we are willing to make investments in non-traditional types of investments, we avoid risks that we do not understand well, as well as structures or situations we think could cause substantial loss of capital. The vast majority of our investment portfolio is managed by third party, independent investment managers.</w:t>
      </w:r>
    </w:p>
    <w:p>
      <w:pPr>
        <w:spacing w:after="0" w:line="79" w:lineRule="exact"/>
        <w:rPr>
          <w:sz w:val="20"/>
          <w:szCs w:val="20"/>
          <w:color w:val="auto"/>
        </w:rPr>
      </w:pPr>
    </w:p>
    <w:p>
      <w:pPr>
        <w:ind w:right="200" w:firstLine="323"/>
        <w:spacing w:after="0" w:line="280" w:lineRule="auto"/>
        <w:rPr>
          <w:sz w:val="20"/>
          <w:szCs w:val="20"/>
          <w:color w:val="auto"/>
        </w:rPr>
      </w:pPr>
      <w:r>
        <w:rPr>
          <w:rFonts w:ascii="Times New Roman" w:cs="Times New Roman" w:eastAsia="Times New Roman" w:hAnsi="Times New Roman"/>
          <w:sz w:val="18"/>
          <w:szCs w:val="18"/>
          <w:color w:val="auto"/>
        </w:rPr>
        <w:t>The majority of our investment portfolio is invested in investment grade fixed income securities. This portfolio provides predictable income with low risk of principal loss and strong liquidity. We seek to augment our overall return and income by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8"/>
          <w:szCs w:val="18"/>
          <w:color w:val="auto"/>
        </w:rPr>
        <w:t>investing in bank loans and other higher yielding assets, including equity securities and private investments. We designed these strategies to improve our investment return, and we are focused on opportunistic investing in areas where we believe our management has expertise or an appropriate understanding of the risk and return of the investment.</w:t>
      </w:r>
    </w:p>
    <w:p>
      <w:pPr>
        <w:spacing w:after="0" w:line="69" w:lineRule="exact"/>
        <w:rPr>
          <w:sz w:val="20"/>
          <w:szCs w:val="20"/>
          <w:color w:val="auto"/>
        </w:rPr>
      </w:pPr>
    </w:p>
    <w:p>
      <w:pPr>
        <w:ind w:right="60" w:firstLine="323"/>
        <w:spacing w:after="0" w:line="259" w:lineRule="auto"/>
        <w:rPr>
          <w:sz w:val="20"/>
          <w:szCs w:val="20"/>
          <w:color w:val="auto"/>
        </w:rPr>
      </w:pPr>
      <w:r>
        <w:rPr>
          <w:rFonts w:ascii="Times New Roman" w:cs="Times New Roman" w:eastAsia="Times New Roman" w:hAnsi="Times New Roman"/>
          <w:sz w:val="18"/>
          <w:szCs w:val="18"/>
          <w:color w:val="auto"/>
        </w:rPr>
        <w:t>Our strategy is designed to earn higher returns than an investment grade fixed income approach alone while maintaining a high average portfolio credit rating and investing in asset classes and allocations that are consistent with the insurance regulatory and rating agency framework within which we operate. We have generally managed our overall portfolio to a duration of 3 to 5 years. At December 31, 2024, the average duration of our total invested assets and cash, excluding restricted cash, was 3.4 years.</w:t>
      </w: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cash and invested assets, excluding restricted cash equivalents, at December 31, 2024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220" w:type="dxa"/>
            <w:vAlign w:val="bottom"/>
          </w:tcPr>
          <w:p>
            <w:pPr>
              <w:spacing w:after="0"/>
              <w:rPr>
                <w:sz w:val="11"/>
                <w:szCs w:val="11"/>
                <w:color w:val="auto"/>
              </w:rPr>
            </w:pPr>
          </w:p>
        </w:tc>
        <w:tc>
          <w:tcPr>
            <w:tcW w:w="12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280" w:type="dxa"/>
            <w:vAlign w:val="bottom"/>
          </w:tcPr>
          <w:p>
            <w:pPr>
              <w:spacing w:after="0"/>
              <w:rPr>
                <w:sz w:val="11"/>
                <w:szCs w:val="11"/>
                <w:color w:val="auto"/>
              </w:rPr>
            </w:pPr>
          </w:p>
        </w:tc>
        <w:tc>
          <w:tcPr>
            <w:tcW w:w="132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160" w:type="dxa"/>
            <w:vAlign w:val="bottom"/>
          </w:tcPr>
          <w:p>
            <w:pPr>
              <w:spacing w:after="0"/>
              <w:rPr>
                <w:sz w:val="11"/>
                <w:szCs w:val="1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6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Book Yield</w:t>
            </w:r>
          </w:p>
        </w:tc>
        <w:tc>
          <w:tcPr>
            <w:tcW w:w="1540" w:type="dxa"/>
            <w:vAlign w:val="bottom"/>
          </w:tcPr>
          <w:p>
            <w:pPr>
              <w:jc w:val="right"/>
              <w:ind w:right="234"/>
              <w:spacing w:after="0" w:line="130" w:lineRule="exact"/>
              <w:rPr>
                <w:sz w:val="20"/>
                <w:szCs w:val="20"/>
                <w:color w:val="auto"/>
              </w:rPr>
            </w:pPr>
            <w:r>
              <w:rPr>
                <w:rFonts w:ascii="Times New Roman" w:cs="Times New Roman" w:eastAsia="Times New Roman" w:hAnsi="Times New Roman"/>
                <w:sz w:val="14"/>
                <w:szCs w:val="14"/>
                <w:b w:val="1"/>
                <w:bCs w:val="1"/>
                <w:color w:val="auto"/>
              </w:rPr>
              <w:t>% of Carrying</w:t>
            </w:r>
          </w:p>
        </w:tc>
        <w:tc>
          <w:tcPr>
            <w:tcW w:w="0" w:type="dxa"/>
            <w:vAlign w:val="bottom"/>
          </w:tcPr>
          <w:p>
            <w:pPr>
              <w:spacing w:after="0"/>
              <w:rPr>
                <w:sz w:val="1"/>
                <w:szCs w:val="1"/>
                <w:color w:val="auto"/>
              </w:rPr>
            </w:pPr>
          </w:p>
        </w:tc>
      </w:tr>
      <w:tr>
        <w:trPr>
          <w:trHeight w:val="193"/>
        </w:trPr>
        <w:tc>
          <w:tcPr>
            <w:tcW w:w="35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5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4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and preferred stock</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1,345,380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1,260,978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1,260,978</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3.8 %</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65.9 %</w:t>
            </w:r>
          </w:p>
        </w:tc>
        <w:tc>
          <w:tcPr>
            <w:tcW w:w="0" w:type="dxa"/>
            <w:vAlign w:val="bottom"/>
          </w:tcPr>
          <w:p>
            <w:pPr>
              <w:spacing w:after="0"/>
              <w:rPr>
                <w:sz w:val="1"/>
                <w:szCs w:val="1"/>
                <w:color w:val="auto"/>
              </w:rPr>
            </w:pPr>
          </w:p>
        </w:tc>
      </w:tr>
      <w:tr>
        <w:trPr>
          <w:trHeight w:val="228"/>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22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147,321</w:t>
            </w:r>
          </w:p>
        </w:tc>
        <w:tc>
          <w:tcPr>
            <w:tcW w:w="280" w:type="dxa"/>
            <w:vAlign w:val="bottom"/>
          </w:tcPr>
          <w:p>
            <w:pPr>
              <w:spacing w:after="0"/>
              <w:rPr>
                <w:sz w:val="19"/>
                <w:szCs w:val="19"/>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142,410</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142,410</w:t>
            </w:r>
          </w:p>
        </w:tc>
        <w:tc>
          <w:tcPr>
            <w:tcW w:w="28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10.3 %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28"/>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15,634</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15,234</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15,234</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NA</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8"/>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97,074</w:t>
            </w:r>
          </w:p>
        </w:tc>
        <w:tc>
          <w:tcPr>
            <w:tcW w:w="280" w:type="dxa"/>
            <w:vAlign w:val="bottom"/>
          </w:tcPr>
          <w:p>
            <w:pPr>
              <w:spacing w:after="0"/>
              <w:rPr>
                <w:sz w:val="19"/>
                <w:szCs w:val="19"/>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97,074</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28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28"/>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invested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36,700</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36,700</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36,700</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NA</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2"/>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invested assets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1,552,396</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81.1 %</w:t>
            </w:r>
          </w:p>
        </w:tc>
        <w:tc>
          <w:tcPr>
            <w:tcW w:w="0" w:type="dxa"/>
            <w:vAlign w:val="bottom"/>
          </w:tcPr>
          <w:p>
            <w:pPr>
              <w:spacing w:after="0"/>
              <w:rPr>
                <w:sz w:val="1"/>
                <w:szCs w:val="1"/>
                <w:color w:val="auto"/>
              </w:rPr>
            </w:pPr>
          </w:p>
        </w:tc>
      </w:tr>
      <w:tr>
        <w:trPr>
          <w:trHeight w:val="228"/>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362,345</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22"/>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invested assets and cash</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1,914,741</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Fixed maturity and preferred stock investments primarily consist of investment grade fixed income and preferred stock securities, which make 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65.9% of total invested assets and cash. Common stock investments are 0.8% of total invested assets and cash. Our objective with fixed maturity, preferred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and common stock investments is to earn attractive risk-adjusted returns with a low risk of loss of principal, while earning attractive income.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 Loans</w:t>
      </w:r>
    </w:p>
    <w:p>
      <w:pPr>
        <w:spacing w:after="0" w:line="119" w:lineRule="exact"/>
        <w:rPr>
          <w:sz w:val="20"/>
          <w:szCs w:val="20"/>
          <w:color w:val="auto"/>
        </w:rPr>
      </w:pPr>
    </w:p>
    <w:p>
      <w:pPr>
        <w:ind w:firstLine="323"/>
        <w:spacing w:after="0" w:line="254" w:lineRule="auto"/>
        <w:rPr>
          <w:sz w:val="20"/>
          <w:szCs w:val="20"/>
          <w:color w:val="auto"/>
        </w:rPr>
      </w:pPr>
      <w:r>
        <w:rPr>
          <w:rFonts w:ascii="Times New Roman" w:cs="Times New Roman" w:eastAsia="Times New Roman" w:hAnsi="Times New Roman"/>
          <w:sz w:val="18"/>
          <w:szCs w:val="18"/>
          <w:color w:val="auto"/>
        </w:rPr>
        <w:t>The Bank Loan portfolio primarily consists of investments in participations in syndicated bank loans, but may also include a small allocation of bonds. Bank loans in our portfolio are generally senior secured loans with an average credit quality of “B” as of December 31, 2024 and floating interest rates based on spreads over SOFR. We believe bank loans are an attractive asset class because (1) floating-rate loans help to reduce our risk of loss in the event of rising interest rates, (2) the loans are generally senior secured, (3) the asset class has a history of relatively high recovery rates in the event of default, (4) the portfolio provides an attractive yield and (5) the maturities of the loans are relatively short (average of approximately 5 years). We invest in this asset class by owning individual loan participations that are carried at fair market value. As of December 31, 2024, bank loans totaled 7.4% of total invested assets and cash.</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Invested Assets</w:t>
      </w:r>
    </w:p>
    <w:p>
      <w:pPr>
        <w:spacing w:after="0" w:line="119" w:lineRule="exact"/>
        <w:rPr>
          <w:sz w:val="20"/>
          <w:szCs w:val="20"/>
          <w:color w:val="auto"/>
        </w:rPr>
      </w:pPr>
    </w:p>
    <w:p>
      <w:pPr>
        <w:ind w:right="20" w:firstLine="323"/>
        <w:spacing w:after="0" w:line="254" w:lineRule="auto"/>
        <w:rPr>
          <w:sz w:val="20"/>
          <w:szCs w:val="20"/>
          <w:color w:val="auto"/>
        </w:rPr>
      </w:pPr>
      <w:r>
        <w:rPr>
          <w:rFonts w:ascii="Times New Roman" w:cs="Times New Roman" w:eastAsia="Times New Roman" w:hAnsi="Times New Roman"/>
          <w:sz w:val="18"/>
          <w:szCs w:val="18"/>
          <w:color w:val="auto"/>
        </w:rPr>
        <w:t>We make selective investments in private debt or equity securities in areas where we see opportunity or attractive risk and return characteristics. We focus on investments where we believe we have an understanding of the risk and opportunity and have the ability to monitor them closely. At December 31, 2024, we held eight private investments with a total carrying value of $36.7 million. Our portfolio consists of investments in wind and solar energy, banking, small cap equities, loans of middle market private equity sponsored companies, asset management firms and other investments. We are opportunistic in our private investment strategy and our portfolio may grow or shrink based on the opportunities available to us. Our other invested asset strategy has significant risk and not all investments are successful. As a result, we intentionally keep this portfolio as a small portion of the overall investment portfolio. As of December 31, 2024, other invested assets totaled 1.9% of total invested assets and cash.</w:t>
      </w:r>
    </w:p>
    <w:p>
      <w:pPr>
        <w:spacing w:after="0" w:line="79" w:lineRule="exact"/>
        <w:rPr>
          <w:sz w:val="20"/>
          <w:szCs w:val="20"/>
          <w:color w:val="auto"/>
        </w:rPr>
      </w:pPr>
    </w:p>
    <w:p>
      <w:pPr>
        <w:ind w:right="40" w:firstLine="323"/>
        <w:spacing w:after="0" w:line="256" w:lineRule="auto"/>
        <w:rPr>
          <w:sz w:val="20"/>
          <w:szCs w:val="20"/>
          <w:color w:val="auto"/>
        </w:rPr>
      </w:pPr>
      <w:r>
        <w:rPr>
          <w:rFonts w:ascii="Times New Roman" w:cs="Times New Roman" w:eastAsia="Times New Roman" w:hAnsi="Times New Roman"/>
          <w:sz w:val="18"/>
          <w:szCs w:val="18"/>
          <w:color w:val="auto"/>
        </w:rPr>
        <w:t>Our total invested assets and cash totaled $1,914.7 million as of December 31, 2024. The weighted average credit rating of our portfolio of fixed maturity securities, bank loans and preferred stocks as of December 31, 2024 was “A”. We have intentionally maintained a cautious interest rate risk position by having an average duration for our total invested assets and cash, excluding restricted cash, of 3.4 years at December 31, 2024. Based on the current duration of 3.4 years, a 1.0% increase in interest rates would result in a pre-tax decline in the market value of our portfolio, excluding other invested assets and cash, of approximately $51.5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Cycle Management and Growth</w:t>
      </w:r>
    </w:p>
    <w:p>
      <w:pPr>
        <w:spacing w:after="0" w:line="119" w:lineRule="exact"/>
        <w:rPr>
          <w:sz w:val="20"/>
          <w:szCs w:val="20"/>
          <w:color w:val="auto"/>
        </w:rPr>
      </w:pPr>
    </w:p>
    <w:p>
      <w:pPr>
        <w:ind w:right="40" w:firstLine="323"/>
        <w:spacing w:after="0" w:line="255" w:lineRule="auto"/>
        <w:rPr>
          <w:sz w:val="20"/>
          <w:szCs w:val="20"/>
          <w:color w:val="auto"/>
        </w:rPr>
      </w:pPr>
      <w:r>
        <w:rPr>
          <w:rFonts w:ascii="Times New Roman" w:cs="Times New Roman" w:eastAsia="Times New Roman" w:hAnsi="Times New Roman"/>
          <w:sz w:val="18"/>
          <w:szCs w:val="18"/>
          <w:color w:val="auto"/>
        </w:rPr>
        <w:t>The insurance business is cyclical in nature, with “hard” and “soft” cycles. Hard markets occur when insurance underwriters limit their exposure in a line of business or across their entire portfolio. When underwriters exercise restraint, insurance buyers are forced to pay more to induce underwriters to cover their risks. A hard market can also be created by economic expansions when capital committed to backing insurance policies does not grow as fast as the demand for insurance. There is generally a correlation between interest rates and the willingness of insurance companies to commit their capital to writing insurance. When fixed income yields are low, insurance companies may need to raise insurance prices to improve underwriting results in order to offset loss of investment income.</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shows the changes in gross written premiums we have experienced in our operating segments from 2022 through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gridSpan w:val="2"/>
          </w:tcPr>
          <w:p>
            <w:pPr>
              <w:jc w:val="right"/>
              <w:ind w:right="117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40" w:type="dxa"/>
            <w:vAlign w:val="bottom"/>
            <w:gridSpan w:val="2"/>
          </w:tcPr>
          <w:p>
            <w:pPr>
              <w:jc w:val="right"/>
              <w:ind w:right="11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5"/>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Written Premiums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6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6"/>
                <w:szCs w:val="16"/>
                <w:color w:val="auto"/>
              </w:rPr>
            </w:pPr>
          </w:p>
        </w:tc>
        <w:tc>
          <w:tcPr>
            <w:tcW w:w="11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15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2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1,017,029</w:t>
            </w: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1,007,351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921,164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28"/>
        </w:trPr>
        <w:tc>
          <w:tcPr>
            <w:tcW w:w="2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414,743</w:t>
            </w:r>
          </w:p>
        </w:tc>
        <w:tc>
          <w:tcPr>
            <w:tcW w:w="3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501,309</w:t>
            </w:r>
          </w:p>
        </w:tc>
        <w:tc>
          <w:tcPr>
            <w:tcW w:w="40" w:type="dxa"/>
            <w:vAlign w:val="bottom"/>
            <w:tcBorders>
              <w:bottom w:val="single" w:sz="8" w:color="auto"/>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490,208</w:t>
            </w:r>
          </w:p>
        </w:tc>
        <w:tc>
          <w:tcPr>
            <w:tcW w:w="60" w:type="dxa"/>
            <w:vAlign w:val="bottom"/>
            <w:tcBorders>
              <w:bottom w:val="single" w:sz="8" w:color="auto"/>
            </w:tcBorders>
          </w:tcPr>
          <w:p>
            <w:pPr>
              <w:spacing w:after="0"/>
              <w:rPr>
                <w:sz w:val="19"/>
                <w:szCs w:val="19"/>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2"/>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1,431,772</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1,508,660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1,411,372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4321810</wp:posOffset>
            </wp:positionH>
            <wp:positionV relativeFrom="paragraph">
              <wp:posOffset>-613410</wp:posOffset>
            </wp:positionV>
            <wp:extent cx="679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2479040</wp:posOffset>
            </wp:positionH>
            <wp:positionV relativeFrom="paragraph">
              <wp:posOffset>-613410</wp:posOffset>
            </wp:positionV>
            <wp:extent cx="850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163" w:lineRule="exact"/>
        <w:rPr>
          <w:sz w:val="20"/>
          <w:szCs w:val="20"/>
          <w:color w:val="auto"/>
        </w:rPr>
      </w:pPr>
    </w:p>
    <w:p>
      <w:pPr>
        <w:ind w:right="60" w:firstLine="323"/>
        <w:spacing w:after="0" w:line="256" w:lineRule="auto"/>
        <w:rPr>
          <w:sz w:val="20"/>
          <w:szCs w:val="20"/>
          <w:color w:val="auto"/>
        </w:rPr>
      </w:pPr>
      <w:r>
        <w:rPr>
          <w:rFonts w:ascii="Times New Roman" w:cs="Times New Roman" w:eastAsia="Times New Roman" w:hAnsi="Times New Roman"/>
          <w:sz w:val="18"/>
          <w:szCs w:val="18"/>
          <w:color w:val="auto"/>
        </w:rPr>
        <w:t>In years prior to those presented, the business written by our operations has, at times, been subject to “soft” market conditions, reflected both in price decreases and reduced underlying exposures. Our Excess and Surplus Lines segment is the most sensitive to hard and soft markets. We have, therefore, sought to diversify this business by geography, line of business and revenue stream. While we have been growing this business and achieving increasing or stable rates for several periods through December 31, 2024, there will likely be periods in the future where our growth moderates, stagnates or turns negative. The market for most lines of commercial insurance, other than workers' compensation, are currently in a hardening phase.</w:t>
      </w:r>
    </w:p>
    <w:p>
      <w:pPr>
        <w:spacing w:after="0" w:line="79" w:lineRule="exact"/>
        <w:rPr>
          <w:sz w:val="20"/>
          <w:szCs w:val="20"/>
          <w:color w:val="auto"/>
        </w:rPr>
      </w:pPr>
    </w:p>
    <w:p>
      <w:pPr>
        <w:ind w:right="80" w:firstLine="323"/>
        <w:spacing w:after="0" w:line="264" w:lineRule="auto"/>
        <w:rPr>
          <w:sz w:val="20"/>
          <w:szCs w:val="20"/>
          <w:color w:val="auto"/>
        </w:rPr>
      </w:pPr>
      <w:r>
        <w:rPr>
          <w:rFonts w:ascii="Times New Roman" w:cs="Times New Roman" w:eastAsia="Times New Roman" w:hAnsi="Times New Roman"/>
          <w:sz w:val="18"/>
          <w:szCs w:val="18"/>
          <w:color w:val="auto"/>
        </w:rPr>
        <w:t>The Excess and Surplus Lines segment has historically been able to make an underwriting profit regardless of the state of the underwriting cycle. This segment's cumulative combined ratio for 2015 through 2024 is 97.2%. Excluding Rasier, the cumulative combined ratio of the Excess and Surplus Lines segment for 2019 through 2024 was 91.2%.</w:t>
      </w:r>
    </w:p>
    <w:p>
      <w:pPr>
        <w:spacing w:after="0" w:line="69" w:lineRule="exact"/>
        <w:rPr>
          <w:sz w:val="20"/>
          <w:szCs w:val="20"/>
          <w:color w:val="auto"/>
        </w:rPr>
      </w:pPr>
    </w:p>
    <w:p>
      <w:pPr>
        <w:ind w:right="240" w:firstLine="323"/>
        <w:spacing w:after="0" w:line="264" w:lineRule="auto"/>
        <w:rPr>
          <w:sz w:val="20"/>
          <w:szCs w:val="20"/>
          <w:color w:val="auto"/>
        </w:rPr>
      </w:pPr>
      <w:r>
        <w:rPr>
          <w:rFonts w:ascii="Times New Roman" w:cs="Times New Roman" w:eastAsia="Times New Roman" w:hAnsi="Times New Roman"/>
          <w:sz w:val="18"/>
          <w:szCs w:val="18"/>
          <w:color w:val="auto"/>
        </w:rPr>
        <w:t>Traditionally, admitted insurance lines have been very susceptible to market cycles. We believe this trend is continuing. We seek to isolate ourselves from these trends in our Specialty Admitted Insurance segment by writing lines of business we believe are slightly less competitive, by prudently purchasing reinsurance and by being willing to dramatically reduce our writings when market conditions warrant.</w:t>
      </w:r>
    </w:p>
    <w:p>
      <w:pPr>
        <w:spacing w:after="0" w:line="69" w:lineRule="exact"/>
        <w:rPr>
          <w:sz w:val="20"/>
          <w:szCs w:val="20"/>
          <w:color w:val="auto"/>
        </w:rPr>
      </w:pPr>
    </w:p>
    <w:p>
      <w:pPr>
        <w:ind w:right="40" w:firstLine="323"/>
        <w:spacing w:after="0" w:line="259" w:lineRule="auto"/>
        <w:rPr>
          <w:sz w:val="20"/>
          <w:szCs w:val="20"/>
          <w:color w:val="auto"/>
        </w:rPr>
      </w:pPr>
      <w:r>
        <w:rPr>
          <w:rFonts w:ascii="Times New Roman" w:cs="Times New Roman" w:eastAsia="Times New Roman" w:hAnsi="Times New Roman"/>
          <w:sz w:val="18"/>
          <w:szCs w:val="18"/>
          <w:color w:val="auto"/>
        </w:rPr>
        <w:t>A material portion of the profitability we seek to achieve from our fronting business has come from fee income that is generated via policies that are issued by our insurance companies and then mostly or wholly reinsured to third parties. Because we earn substantial fees from underwriting business on which we retain little or no insurance risk, this business can be profitable to us even in soft market conditions. Gross written premiums were $410.4 million ($69.8 million on a net basis) for fronting and program business in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9" w:lineRule="exact"/>
        <w:rPr>
          <w:sz w:val="20"/>
          <w:szCs w:val="20"/>
          <w:color w:val="auto"/>
        </w:rPr>
      </w:pPr>
    </w:p>
    <w:p>
      <w:pPr>
        <w:ind w:right="40" w:firstLine="323"/>
        <w:spacing w:after="0" w:line="256" w:lineRule="auto"/>
        <w:rPr>
          <w:sz w:val="20"/>
          <w:szCs w:val="20"/>
          <w:color w:val="auto"/>
        </w:rPr>
      </w:pPr>
      <w:r>
        <w:rPr>
          <w:rFonts w:ascii="Times New Roman" w:cs="Times New Roman" w:eastAsia="Times New Roman" w:hAnsi="Times New Roman"/>
          <w:sz w:val="18"/>
          <w:szCs w:val="18"/>
          <w:color w:val="auto"/>
        </w:rPr>
        <w:t>We compete in a variety of markets against a variety of competitors depending on the nature of the risk and coverage being underwritten. The competition for any one account may range from large international firms to smaller regional companies or group captives in the domiciles in which we operate. To remain competitive, our strategy includes, among other measures: (1) focusing on rate adequacy and underwriting discipline, (2) leveraging our distribution network, (3) controlling expenses, (4) maintaining financial strength and issuer credit ratings and (5) providing quality services to agents and policyholders.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Excess and Surplus Lines</w:t>
      </w:r>
    </w:p>
    <w:p>
      <w:pPr>
        <w:spacing w:after="0" w:line="106" w:lineRule="exact"/>
        <w:rPr>
          <w:sz w:val="20"/>
          <w:szCs w:val="20"/>
          <w:color w:val="auto"/>
        </w:rPr>
      </w:pPr>
    </w:p>
    <w:p>
      <w:pPr>
        <w:ind w:right="80" w:firstLine="323"/>
        <w:spacing w:after="0" w:line="251" w:lineRule="auto"/>
        <w:rPr>
          <w:sz w:val="20"/>
          <w:szCs w:val="20"/>
          <w:color w:val="auto"/>
        </w:rPr>
      </w:pPr>
      <w:r>
        <w:rPr>
          <w:rFonts w:ascii="Times New Roman" w:cs="Times New Roman" w:eastAsia="Times New Roman" w:hAnsi="Times New Roman"/>
          <w:sz w:val="17"/>
          <w:szCs w:val="17"/>
          <w:color w:val="auto"/>
        </w:rPr>
        <w:t>Competition within the E&amp;S lines marketplace comes from a wide range of carriers. In addition to mature E&amp;S companies that operate nationwide, there is competition from carriers formed in recent years including an expanding MGA/MGU contingent. The Excess and Surplus Lines segment may also compete with national and regional carriers from the standard market willing to underwrite selected accounts on an admitted basis. Competitors in this segment include ACE Westchester Specialty Group (Chubb), AmRisc Insurance Company (Truist Insurance Holdings), Apollo Syndicate, Alleghany Corporation (Berkshire Hathaway), Allied World Assurance Company, Ltd., AmTrust Financial Services, Inc., Arch Capital Group Ltd., Arrowhead General Insurance Agency, Inc., Aspen Insurance Holdings Limited, Ategrity Specialty Insurance Company, AXA XL, Axis Insurance Company (Axis Capital Holdings Limited), Beazley Group (Lloyd’s), Berkshire Hathaway Specialty Insurance, Brit Insurance (Lloyd’s), Colony Specialty Insurance Company (Argo Group International Holdings, Ltd.), Endurance Specialty (Sompo), Fairfax Financial Holdings, Ltd., Hamilton Insurance Group, Ltd., Hiscox Insurance Company (Lloyd’s), Houston Casualty Company (a subsidiary of Tokio Marine HCC), Kinsale Capital Group, Inc., Lexington Insurance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Company (American International Group, Inc.), Markel Corporation, Navigators Insurance Company (Hartford), OneBeacon (Intact Financial Corporation), Old Republic International Corporation, PHLY E&amp;S (Philadelphia Consolidated Holding Corp. Tokio Marine), ProAssurance Corporation, QBE Insurance Group Ltd., RLI Corp., Scottsdale Insurance Company (Nationwide E&amp;S), Skyward Specialty Insurance Group, Inc., Starr Insurance Company (C.V. Starr</w:t>
      </w:r>
    </w:p>
    <w:p>
      <w:pPr>
        <w:spacing w:after="0" w:line="2" w:lineRule="exact"/>
        <w:rPr>
          <w:sz w:val="20"/>
          <w:szCs w:val="20"/>
          <w:color w:val="auto"/>
        </w:rPr>
      </w:pPr>
    </w:p>
    <w:p>
      <w:pPr>
        <w:ind w:right="160" w:firstLine="7"/>
        <w:spacing w:after="0" w:line="238" w:lineRule="auto"/>
        <w:tabs>
          <w:tab w:leader="none" w:pos="1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StarStone Specialty Insurance Co., Swiss Re Ltd, United Specialty Insurance Company, W.R. Berkley, and other large national and multi-national insurance carriers. There are close to 200 companies classified as Domestic Professional Surplus Lines Companies, companies that derive at least 50% of their written premiums from surplus lines business.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Specialty Admitted Insurance</w:t>
      </w:r>
    </w:p>
    <w:p>
      <w:pPr>
        <w:spacing w:after="0" w:line="119" w:lineRule="exact"/>
        <w:rPr>
          <w:sz w:val="20"/>
          <w:szCs w:val="20"/>
          <w:color w:val="auto"/>
        </w:rPr>
      </w:pPr>
    </w:p>
    <w:p>
      <w:pPr>
        <w:ind w:right="60" w:firstLine="323"/>
        <w:spacing w:after="0" w:line="264" w:lineRule="auto"/>
        <w:rPr>
          <w:sz w:val="20"/>
          <w:szCs w:val="20"/>
          <w:color w:val="auto"/>
        </w:rPr>
      </w:pPr>
      <w:r>
        <w:rPr>
          <w:rFonts w:ascii="Times New Roman" w:cs="Times New Roman" w:eastAsia="Times New Roman" w:hAnsi="Times New Roman"/>
          <w:sz w:val="18"/>
          <w:szCs w:val="18"/>
          <w:color w:val="auto"/>
        </w:rPr>
        <w:t>Due to the diverse nature of the products offered by the Specialty Admitted Insurance segment, competition comes from various sources. National carriers tend to compete for fronting and program accounts along all product lines. Competition for our fronting business includes but is not limited to State National (part of Markel), Argo Group, Clear Blue, Spinnaker, Trisura, Red Point, Equity Insurance Company, Worth Insurance, and Amtrust.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Bermuda Law Considerations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Bermuda Corporate Law Considerations</w:t>
      </w:r>
    </w:p>
    <w:p>
      <w:pPr>
        <w:spacing w:after="0" w:line="119" w:lineRule="exact"/>
        <w:rPr>
          <w:sz w:val="20"/>
          <w:szCs w:val="20"/>
          <w:color w:val="auto"/>
        </w:rPr>
      </w:pPr>
    </w:p>
    <w:p>
      <w:pPr>
        <w:ind w:right="60" w:firstLine="323"/>
        <w:spacing w:after="0" w:line="259" w:lineRule="auto"/>
        <w:rPr>
          <w:sz w:val="20"/>
          <w:szCs w:val="20"/>
          <w:color w:val="auto"/>
        </w:rPr>
      </w:pPr>
      <w:r>
        <w:rPr>
          <w:rFonts w:ascii="Times New Roman" w:cs="Times New Roman" w:eastAsia="Times New Roman" w:hAnsi="Times New Roman"/>
          <w:sz w:val="18"/>
          <w:szCs w:val="18"/>
          <w:color w:val="auto"/>
        </w:rPr>
        <w:t>Although James River Group Holdings, Ltd. is incorporated in Bermuda, it is designated as a non-resident for Bermuda exchange control purposes by the Bermuda Monetary Authority (“BMA”). Pursuant to its non-resident status, James River Group Holdings, Ltd. may engage in transactions in currencies other than the Bermuda dollar, and there are no restrictions on its ability to transfer funds (other than funds denominated in Bermuda dollars) in and out of Bermuda or to pay dividends to non-residents who are holders of its common shares in currencies other than the Bermuda dollar.</w:t>
      </w:r>
    </w:p>
    <w:p>
      <w:pPr>
        <w:spacing w:after="0" w:line="74" w:lineRule="exact"/>
        <w:rPr>
          <w:sz w:val="20"/>
          <w:szCs w:val="20"/>
          <w:color w:val="auto"/>
        </w:rPr>
      </w:pPr>
    </w:p>
    <w:p>
      <w:pPr>
        <w:ind w:right="40" w:firstLine="323"/>
        <w:spacing w:after="0" w:line="259" w:lineRule="auto"/>
        <w:rPr>
          <w:sz w:val="20"/>
          <w:szCs w:val="20"/>
          <w:color w:val="auto"/>
        </w:rPr>
      </w:pPr>
      <w:r>
        <w:rPr>
          <w:rFonts w:ascii="Times New Roman" w:cs="Times New Roman" w:eastAsia="Times New Roman" w:hAnsi="Times New Roman"/>
          <w:sz w:val="18"/>
          <w:szCs w:val="18"/>
          <w:color w:val="auto"/>
        </w:rPr>
        <w:t>In accordance with Bermuda law, share certificates are issued only in the names of companies, partnerships or individuals. In the case of an applicant acting in a special capacity (for example, as an executor or trustee), certificates may, at the request of the applicant, record the capacity in which the applicant is acting. Notwithstanding the recording of any such special capacity, we are not bound to investigate or see to the execution of any such trust. We will take no notice of any trust applicable to any of our common shares whether or not we have notice of such trust.</w:t>
      </w:r>
    </w:p>
    <w:p>
      <w:pPr>
        <w:spacing w:after="0" w:line="74" w:lineRule="exact"/>
        <w:rPr>
          <w:sz w:val="20"/>
          <w:szCs w:val="20"/>
          <w:color w:val="auto"/>
        </w:rPr>
      </w:pPr>
    </w:p>
    <w:p>
      <w:pPr>
        <w:ind w:right="60" w:firstLine="323"/>
        <w:spacing w:after="0" w:line="269" w:lineRule="auto"/>
        <w:rPr>
          <w:sz w:val="20"/>
          <w:szCs w:val="20"/>
          <w:color w:val="auto"/>
        </w:rPr>
      </w:pPr>
      <w:r>
        <w:rPr>
          <w:rFonts w:ascii="Times New Roman" w:cs="Times New Roman" w:eastAsia="Times New Roman" w:hAnsi="Times New Roman"/>
          <w:sz w:val="17"/>
          <w:szCs w:val="17"/>
          <w:color w:val="auto"/>
        </w:rPr>
        <w:t>James River Group Holdings, Ltd. is incorporated in Bermuda as an “exempted company.” Under Bermuda law, exempted companies are companies formed for the purpose of conducting business outside Bermuda from a principal place of business in Bermuda. As a result, they are exempt from Bermuda laws restricting the percentage of share capital that may be held by non-Bermudians. However, exempted companies may not participate in certain business transactions, including: (i) the acquisition or holding of land in Bermuda except that required for their business and held by way of lease or tenancy for a term not exceeding 50 years or, with the consent of the Minister of Finance granted in his discretion by way of lease or tenancy for a term not exceeding 21 years in order to provide accommodation or recreational facilities for its officers and employees, (ii) the taking of mortgages on land in Bermuda to secure an amount in excess of B.D.$50,000 without the consent of the Minister of Finance, (iii) the acquisition of any bonds or debentures secured by any land in Bermuda, other than certain types of Bermuda government securities or securities issued by Bermuda public authorities, or (iv) the carrying on of business of any kind in Bermuda, except in furtherance of business carried on outside Bermuda or under license granted by the Minister of Finance.</w:t>
      </w:r>
    </w:p>
    <w:p>
      <w:pPr>
        <w:spacing w:after="0" w:line="70" w:lineRule="exact"/>
        <w:rPr>
          <w:sz w:val="20"/>
          <w:szCs w:val="20"/>
          <w:color w:val="auto"/>
        </w:rPr>
      </w:pPr>
    </w:p>
    <w:p>
      <w:pPr>
        <w:ind w:right="20" w:firstLine="323"/>
        <w:spacing w:after="0" w:line="259" w:lineRule="auto"/>
        <w:rPr>
          <w:sz w:val="20"/>
          <w:szCs w:val="20"/>
          <w:color w:val="auto"/>
        </w:rPr>
      </w:pPr>
      <w:r>
        <w:rPr>
          <w:rFonts w:ascii="Times New Roman" w:cs="Times New Roman" w:eastAsia="Times New Roman" w:hAnsi="Times New Roman"/>
          <w:sz w:val="18"/>
          <w:szCs w:val="18"/>
          <w:color w:val="auto"/>
        </w:rPr>
        <w:t>James River Group Holdings, Ltd. must comply with the provisions of the Companies Act 1981 of Bermuda (the “Companies Act”) regulating the payment of dividends and making distributions from contributed surplus. A company may not declare or pay a dividend, or make a distribution out of contributed surplus, if there are reasonable grounds for believing that (i) it is, or would after the payment be, unable to pay its liabilities as they become due, or (ii) the realizable value of the assets would thereby be less than its liabilities.</w:t>
      </w:r>
    </w:p>
    <w:p>
      <w:pPr>
        <w:spacing w:after="0" w:line="74" w:lineRule="exact"/>
        <w:rPr>
          <w:sz w:val="20"/>
          <w:szCs w:val="20"/>
          <w:color w:val="auto"/>
        </w:rPr>
      </w:pPr>
    </w:p>
    <w:p>
      <w:pPr>
        <w:ind w:right="60" w:firstLine="323"/>
        <w:spacing w:after="0" w:line="253" w:lineRule="auto"/>
        <w:rPr>
          <w:sz w:val="20"/>
          <w:szCs w:val="20"/>
          <w:color w:val="auto"/>
        </w:rPr>
      </w:pPr>
      <w:r>
        <w:rPr>
          <w:rFonts w:ascii="Times New Roman" w:cs="Times New Roman" w:eastAsia="Times New Roman" w:hAnsi="Times New Roman"/>
          <w:sz w:val="18"/>
          <w:szCs w:val="18"/>
          <w:color w:val="auto"/>
        </w:rPr>
        <w:t>Under the Companies Act, where a Bermuda company issues shares at a premium (that is, for a price above the par value), whether for cash or otherwise, a sum equal to the aggregate amount or value of the premium on those shares must be transferred to an account called “the share premium account.” The provisions of the Companies Act relating to the reduction of the share capital of a company apply as if the share premium account were paid up share capital of that company, except for certain matters such as: (i) paying up unissued shares to be issued to members as fully paid bonus shares, (ii) writing off the preliminary expenses of the company or the expenses of, or the commission paid or discount allowed on any issue of shares or debentures of the company, or (iii) providing for the premiums payable on redemption of shares or of any debentures of the company. The paid up share capital may not be reduced if, on the date the reduction is to be effected, there are reasonable grounds for believing that the company is, or after the reduction would be, unable to pay its liabilities as they become due.</w:t>
      </w:r>
    </w:p>
    <w:p>
      <w:pPr>
        <w:spacing w:after="0" w:line="82" w:lineRule="exact"/>
        <w:rPr>
          <w:sz w:val="20"/>
          <w:szCs w:val="20"/>
          <w:color w:val="auto"/>
        </w:rPr>
      </w:pPr>
    </w:p>
    <w:p>
      <w:pPr>
        <w:ind w:right="40" w:firstLine="323"/>
        <w:spacing w:after="0" w:line="256" w:lineRule="auto"/>
        <w:rPr>
          <w:sz w:val="20"/>
          <w:szCs w:val="20"/>
          <w:color w:val="auto"/>
        </w:rPr>
      </w:pPr>
      <w:r>
        <w:rPr>
          <w:rFonts w:ascii="Times New Roman" w:cs="Times New Roman" w:eastAsia="Times New Roman" w:hAnsi="Times New Roman"/>
          <w:sz w:val="18"/>
          <w:szCs w:val="18"/>
          <w:color w:val="auto"/>
        </w:rPr>
        <w:t>Securities may be offered or sold in Bermuda only in compliance with the provisions of the Investment Business Act 2003 and the Exchange Control Act 1972 and related regulations of Bermuda which regulate the sale of securities in Bermuda. In addition, the permission of the BMA is required under the provisions of the Exchange Control Act 1972 and related regulations for all issuances and transfers of shares of Bermuda companies to or from a non-resident of Bermuda for exchange control purposes, other than in cases where the BMA has granted a general permission. The BMA, in its notice to the public dated June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1, 2005, has granted a general permission for the issue and subsequent transfer of any securities of a Bermuda company from and/or to a non-resident of Bermuda for exchange control purposes for so long as any “equity securities” of the company (which would include our common shares) are listed on an “Appointed Stock Exchange” (which would include the NASDAQ Stock Market). In granting the general permission, the BMA accepts no responsibility for our financial soundness or the correctness of any of the statements made or opinions expressed herein.</w:t>
      </w:r>
    </w:p>
    <w:p>
      <w:pPr>
        <w:spacing w:after="0" w:line="74" w:lineRule="exact"/>
        <w:rPr>
          <w:sz w:val="20"/>
          <w:szCs w:val="20"/>
          <w:color w:val="auto"/>
        </w:rPr>
      </w:pPr>
    </w:p>
    <w:p>
      <w:pPr>
        <w:ind w:right="20" w:firstLine="323"/>
        <w:spacing w:after="0" w:line="264" w:lineRule="auto"/>
        <w:rPr>
          <w:sz w:val="20"/>
          <w:szCs w:val="20"/>
          <w:color w:val="auto"/>
        </w:rPr>
      </w:pPr>
      <w:r>
        <w:rPr>
          <w:rFonts w:ascii="Times New Roman" w:cs="Times New Roman" w:eastAsia="Times New Roman" w:hAnsi="Times New Roman"/>
          <w:sz w:val="18"/>
          <w:szCs w:val="18"/>
          <w:color w:val="auto"/>
        </w:rPr>
        <w:t>We have received consent from the BMA to issue, grant, create, sell and transfer freely any of our shares, stock, bonds, notes (other than promissory notes), debentures, debenture stock, units under a unit trust scheme, shares in an oil royalty, options, warrants, coupons, rights and depository receipts to and among persons who are either resident or non-resident of Bermuda for exchange control purposes.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Substance</w:t>
      </w:r>
    </w:p>
    <w:p>
      <w:pPr>
        <w:spacing w:after="0" w:line="119" w:lineRule="exact"/>
        <w:rPr>
          <w:sz w:val="20"/>
          <w:szCs w:val="20"/>
          <w:color w:val="auto"/>
        </w:rPr>
      </w:pPr>
    </w:p>
    <w:p>
      <w:pPr>
        <w:ind w:right="80" w:firstLine="323"/>
        <w:spacing w:after="0" w:line="259" w:lineRule="auto"/>
        <w:rPr>
          <w:sz w:val="20"/>
          <w:szCs w:val="20"/>
          <w:color w:val="auto"/>
        </w:rPr>
      </w:pPr>
      <w:r>
        <w:rPr>
          <w:rFonts w:ascii="Times New Roman" w:cs="Times New Roman" w:eastAsia="Times New Roman" w:hAnsi="Times New Roman"/>
          <w:sz w:val="18"/>
          <w:szCs w:val="18"/>
          <w:color w:val="auto"/>
        </w:rPr>
        <w:t xml:space="preserve">Under the Economic Substance Act 2018 and related regulations (collectively, the “ESA”), each entity resident in Bermuda that carries on a “relevant activity” is required to comply with the economic substance requirements under the ESA, unless resident for tax purposes in a jurisdiction outside Bermuda that is not on the European Union (“EU”) list of non-cooperative jurisdictions for tax purposes. Relevant activities include,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holding entity activities, as each is defined in the ESA.</w:t>
      </w:r>
    </w:p>
    <w:p>
      <w:pPr>
        <w:spacing w:after="0" w:line="74" w:lineRule="exact"/>
        <w:rPr>
          <w:sz w:val="20"/>
          <w:szCs w:val="20"/>
          <w:color w:val="auto"/>
        </w:rPr>
      </w:pPr>
    </w:p>
    <w:p>
      <w:pPr>
        <w:ind w:right="160" w:firstLine="323"/>
        <w:spacing w:after="0" w:line="259" w:lineRule="auto"/>
        <w:rPr>
          <w:sz w:val="20"/>
          <w:szCs w:val="20"/>
          <w:color w:val="auto"/>
        </w:rPr>
      </w:pPr>
      <w:r>
        <w:rPr>
          <w:rFonts w:ascii="Times New Roman" w:cs="Times New Roman" w:eastAsia="Times New Roman" w:hAnsi="Times New Roman"/>
          <w:sz w:val="18"/>
          <w:szCs w:val="18"/>
          <w:color w:val="auto"/>
        </w:rPr>
        <w:t>Compliance requires that the entity is managed and directed in Bermuda, core income generating activities are undertaken in Bermuda with respect to the relevant activity, the entity maintains adequate physical presence in Bermuda, there are adequate full time employees in Bermuda with suitable qualifications and there is adequate operating expenditure incurred in Bermuda in relation to the relevant activity. Entities in scope will also need to file an annual declaration form in respect of its relevant activity or activities.</w:t>
      </w:r>
    </w:p>
    <w:p>
      <w:pPr>
        <w:spacing w:after="0" w:line="74" w:lineRule="exact"/>
        <w:rPr>
          <w:sz w:val="20"/>
          <w:szCs w:val="20"/>
          <w:color w:val="auto"/>
        </w:rPr>
      </w:pPr>
    </w:p>
    <w:p>
      <w:pPr>
        <w:ind w:right="100" w:firstLine="323"/>
        <w:spacing w:after="0" w:line="264" w:lineRule="auto"/>
        <w:rPr>
          <w:sz w:val="20"/>
          <w:szCs w:val="20"/>
          <w:color w:val="auto"/>
        </w:rPr>
      </w:pPr>
      <w:r>
        <w:rPr>
          <w:rFonts w:ascii="Times New Roman" w:cs="Times New Roman" w:eastAsia="Times New Roman" w:hAnsi="Times New Roman"/>
          <w:sz w:val="18"/>
          <w:szCs w:val="18"/>
          <w:color w:val="auto"/>
        </w:rPr>
        <w:t>Holding entities are subject to minimum economic substance requirements comprising (in the case of an exempted company), compliance with the corporate governance requirements set forth in the Companies Act and the filing of a declaration form. The ESA also requires such a holding entity to have adequate people for holding and managing equity participations and have adequate premises in Bermuda.</w:t>
      </w:r>
    </w:p>
    <w:p>
      <w:pPr>
        <w:spacing w:after="0" w:line="69" w:lineRule="exact"/>
        <w:rPr>
          <w:sz w:val="20"/>
          <w:szCs w:val="20"/>
          <w:color w:val="auto"/>
        </w:rPr>
      </w:pPr>
    </w:p>
    <w:p>
      <w:pPr>
        <w:jc w:val="both"/>
        <w:ind w:right="220" w:firstLine="323"/>
        <w:spacing w:after="0" w:line="264" w:lineRule="auto"/>
        <w:rPr>
          <w:sz w:val="20"/>
          <w:szCs w:val="20"/>
          <w:color w:val="auto"/>
        </w:rPr>
      </w:pPr>
      <w:r>
        <w:rPr>
          <w:rFonts w:ascii="Times New Roman" w:cs="Times New Roman" w:eastAsia="Times New Roman" w:hAnsi="Times New Roman"/>
          <w:sz w:val="18"/>
          <w:szCs w:val="18"/>
          <w:color w:val="auto"/>
        </w:rPr>
        <w:t>Any entity that must satisfy economic substance requirements but fails to do so could face automatic disclosure to competent authorities in the EU of the information filed by the entity with the Bermuda Registrar of Companies in connection with the economic substance requirements and may also face financial penalties, restriction or regulation of its business activities and/or may be struck off as a registered entity in Bermuda.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Bermuda Work Permit Considerations</w:t>
      </w:r>
    </w:p>
    <w:p>
      <w:pPr>
        <w:spacing w:after="0" w:line="119" w:lineRule="exact"/>
        <w:rPr>
          <w:sz w:val="20"/>
          <w:szCs w:val="20"/>
          <w:color w:val="auto"/>
        </w:rPr>
      </w:pPr>
    </w:p>
    <w:p>
      <w:pPr>
        <w:ind w:right="140" w:firstLine="323"/>
        <w:spacing w:after="0" w:line="280" w:lineRule="auto"/>
        <w:rPr>
          <w:sz w:val="20"/>
          <w:szCs w:val="20"/>
          <w:color w:val="auto"/>
        </w:rPr>
      </w:pPr>
      <w:r>
        <w:rPr>
          <w:rFonts w:ascii="Times New Roman" w:cs="Times New Roman" w:eastAsia="Times New Roman" w:hAnsi="Times New Roman"/>
          <w:sz w:val="18"/>
          <w:szCs w:val="18"/>
          <w:color w:val="auto"/>
        </w:rPr>
        <w:t>Under Bermuda law, non-Bermudians (other than spouses of Bermudians and individuals holding permanent resident’s certificates) may not engage in any gainful occupation in Bermuda without an appropriate government work permit.</w:t>
      </w:r>
    </w:p>
    <w:p>
      <w:pPr>
        <w:spacing w:after="0" w:line="55" w:lineRule="exact"/>
        <w:rPr>
          <w:sz w:val="20"/>
          <w:szCs w:val="20"/>
          <w:color w:val="auto"/>
        </w:rPr>
      </w:pPr>
    </w:p>
    <w:p>
      <w:pPr>
        <w:ind w:right="40" w:firstLine="323"/>
        <w:spacing w:after="0" w:line="252" w:lineRule="auto"/>
        <w:rPr>
          <w:sz w:val="20"/>
          <w:szCs w:val="20"/>
          <w:color w:val="auto"/>
        </w:rPr>
      </w:pPr>
      <w:r>
        <w:rPr>
          <w:rFonts w:ascii="Times New Roman" w:cs="Times New Roman" w:eastAsia="Times New Roman" w:hAnsi="Times New Roman"/>
          <w:sz w:val="18"/>
          <w:szCs w:val="18"/>
          <w:color w:val="auto"/>
        </w:rPr>
        <w:t>Standard work permits can be obtained for a one-, two-, three-, four- or five-year period. Where a standard work permit is being applied for, it is a requirement that the job must be advertised for three days (within an eight-day period) in the local newspaper and advertised for eight consecutive days on the Bermuda Government Job Board. Should no Bermudian (or spouse of a Bermudian or holder of a permanent resident’s certificate) meet the minimum standards as stipulated in the advertisements, the employer may then apply for a standard work permit for the non-Bermudian. Where such persons apply, employers must complete a Recruitment Disclosure Form, within the Standard Work Permit Application Form, and provide a summary of all applicants that are Bermudian, the spouse of the Bermudian or the holder of a permanent resident’s certificate, including their qualifications and the reason they were unsuccessful. The Department of Immigration will compare the qualifications and experience of any Bermudian applicants (or spouse of a Bermudian or holder of a permanent resident’s certificate) to that stipulated in the advertisements and to the non-Bermudian to be satisfied that the role could not have been filled by a Bermudian (or spouse of a Bermudian or holder of a permanent resident’s certificate). In addition to the advertising, there are other documents that are required prior to the Department of Immigration making its decision.</w:t>
      </w:r>
    </w:p>
    <w:p>
      <w:pPr>
        <w:spacing w:after="0" w:line="84" w:lineRule="exact"/>
        <w:rPr>
          <w:sz w:val="20"/>
          <w:szCs w:val="20"/>
          <w:color w:val="auto"/>
        </w:rPr>
      </w:pPr>
    </w:p>
    <w:p>
      <w:pPr>
        <w:jc w:val="both"/>
        <w:ind w:right="560" w:firstLine="323"/>
        <w:spacing w:after="0" w:line="264" w:lineRule="auto"/>
        <w:rPr>
          <w:sz w:val="20"/>
          <w:szCs w:val="20"/>
          <w:color w:val="auto"/>
        </w:rPr>
      </w:pPr>
      <w:r>
        <w:rPr>
          <w:rFonts w:ascii="Times New Roman" w:cs="Times New Roman" w:eastAsia="Times New Roman" w:hAnsi="Times New Roman"/>
          <w:sz w:val="18"/>
          <w:szCs w:val="18"/>
          <w:color w:val="auto"/>
        </w:rPr>
        <w:t>If the position for which the standard work permit is being applied is that of a Chief Executive Officer or other chief officer post, the Minister of Economy and Labour allows an automatic waiver from the requirement to advertise the position and on occasion, after consideration, may waive the requirement to advertise for other senior executive positions upon request.</w:t>
      </w:r>
    </w:p>
    <w:p>
      <w:pPr>
        <w:spacing w:after="0" w:line="69" w:lineRule="exact"/>
        <w:rPr>
          <w:sz w:val="20"/>
          <w:szCs w:val="20"/>
          <w:color w:val="auto"/>
        </w:rPr>
      </w:pPr>
    </w:p>
    <w:p>
      <w:pPr>
        <w:ind w:right="360" w:firstLine="323"/>
        <w:spacing w:after="0" w:line="264" w:lineRule="auto"/>
        <w:rPr>
          <w:sz w:val="20"/>
          <w:szCs w:val="20"/>
          <w:color w:val="auto"/>
        </w:rPr>
      </w:pPr>
      <w:r>
        <w:rPr>
          <w:rFonts w:ascii="Times New Roman" w:cs="Times New Roman" w:eastAsia="Times New Roman" w:hAnsi="Times New Roman"/>
          <w:sz w:val="18"/>
          <w:szCs w:val="18"/>
          <w:color w:val="auto"/>
        </w:rPr>
        <w:t>If an employer wishes to change an employee’s job title, provided that the job description, duties, remuneration and benefits remain unchanged, the employer does not need to advertise or obtain the permission of the Minister of Economy and Labour to do this, but it must inform the Department of Immigration by letter, including the new Statement of Employment, and pay the necessary fee before or after the change has occurred.</w:t>
      </w:r>
    </w:p>
    <w:p>
      <w:pPr>
        <w:spacing w:after="0" w:line="69" w:lineRule="exact"/>
        <w:rPr>
          <w:sz w:val="20"/>
          <w:szCs w:val="20"/>
          <w:color w:val="auto"/>
        </w:rPr>
      </w:pPr>
    </w:p>
    <w:p>
      <w:pPr>
        <w:ind w:right="80" w:firstLine="323"/>
        <w:spacing w:after="0" w:line="264" w:lineRule="auto"/>
        <w:rPr>
          <w:sz w:val="20"/>
          <w:szCs w:val="20"/>
          <w:color w:val="auto"/>
        </w:rPr>
      </w:pPr>
      <w:r>
        <w:rPr>
          <w:rFonts w:ascii="Times New Roman" w:cs="Times New Roman" w:eastAsia="Times New Roman" w:hAnsi="Times New Roman"/>
          <w:sz w:val="18"/>
          <w:szCs w:val="18"/>
          <w:color w:val="auto"/>
        </w:rPr>
        <w:t>If an employer wishes to promote an employee currently on a work permit from his current job to another within the same business, the permission of the Minister of Economy and Labour must first be obtained. The employer will need to advertise internally and provide evidence of the internal recruitment efforts and consideration of internal Bermudian/spouse of Bermudian candidates.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temporary work permit can take up to 10 working days to process and a standard work permit takes four weeks to process.</w:t>
      </w:r>
    </w:p>
    <w:p>
      <w:pPr>
        <w:spacing w:after="0" w:line="115" w:lineRule="exact"/>
        <w:rPr>
          <w:sz w:val="20"/>
          <w:szCs w:val="20"/>
          <w:color w:val="auto"/>
        </w:rPr>
      </w:pPr>
    </w:p>
    <w:p>
      <w:pPr>
        <w:ind w:right="320" w:firstLine="323"/>
        <w:spacing w:after="0" w:line="280" w:lineRule="auto"/>
        <w:rPr>
          <w:sz w:val="20"/>
          <w:szCs w:val="20"/>
          <w:color w:val="auto"/>
        </w:rPr>
      </w:pPr>
      <w:r>
        <w:rPr>
          <w:rFonts w:ascii="Times New Roman" w:cs="Times New Roman" w:eastAsia="Times New Roman" w:hAnsi="Times New Roman"/>
          <w:sz w:val="18"/>
          <w:szCs w:val="18"/>
          <w:color w:val="auto"/>
        </w:rPr>
        <w:t>Employers have the right to appeal to the Minister following any decision made by the Board or the Minister. Appeals should be submitted on letter form to the Department for the attention of the Chief Immigration Officer, made within seven (7) working days of the date of the refusal letter.</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Insurance Regulation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Regulation</w:t>
      </w:r>
    </w:p>
    <w:p>
      <w:pPr>
        <w:spacing w:after="0" w:line="119" w:lineRule="exact"/>
        <w:rPr>
          <w:sz w:val="20"/>
          <w:szCs w:val="20"/>
          <w:color w:val="auto"/>
        </w:rPr>
      </w:pPr>
    </w:p>
    <w:p>
      <w:pPr>
        <w:ind w:firstLine="323"/>
        <w:spacing w:after="0" w:line="255" w:lineRule="auto"/>
        <w:rPr>
          <w:sz w:val="20"/>
          <w:szCs w:val="20"/>
          <w:color w:val="auto"/>
        </w:rPr>
      </w:pPr>
      <w:r>
        <w:rPr>
          <w:rFonts w:ascii="Times New Roman" w:cs="Times New Roman" w:eastAsia="Times New Roman" w:hAnsi="Times New Roman"/>
          <w:sz w:val="18"/>
          <w:szCs w:val="18"/>
          <w:color w:val="auto"/>
        </w:rPr>
        <w:t>Our U.S. insurance subsidiaries are subject to extensive regulation and supervision by their state of domicile, as well as those states in which they do business. The purpose of such regulation and supervision is primarily to provide safeguards for policyholders, rather than to protect the interests of shareholders. The insurance laws of the various states establish regulatory agencies with broad administrative powers, including the power to grant or revoke operating licenses and regulate trade practices, investments, premium rates, deposits of securities, the form and content of financial statements and insurance policies, dividend limitations, cancellation and non-renewal of policies, accounting practices and the maintenance of specified reserves and capital for the protection of policyholders.</w:t>
      </w:r>
    </w:p>
    <w:p>
      <w:pPr>
        <w:spacing w:after="0" w:line="78" w:lineRule="exact"/>
        <w:rPr>
          <w:sz w:val="20"/>
          <w:szCs w:val="20"/>
          <w:color w:val="auto"/>
        </w:rPr>
      </w:pPr>
    </w:p>
    <w:p>
      <w:pPr>
        <w:ind w:right="20" w:firstLine="323"/>
        <w:spacing w:after="0" w:line="253" w:lineRule="auto"/>
        <w:rPr>
          <w:sz w:val="20"/>
          <w:szCs w:val="20"/>
          <w:color w:val="auto"/>
        </w:rPr>
      </w:pPr>
      <w:r>
        <w:rPr>
          <w:rFonts w:ascii="Times New Roman" w:cs="Times New Roman" w:eastAsia="Times New Roman" w:hAnsi="Times New Roman"/>
          <w:sz w:val="18"/>
          <w:szCs w:val="18"/>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 month period without advance regulatory approval. In Ohio, the domiciliary state of James River Insurance, James River Casualty, Stonewood Insurance and Falls Lake National, the limitation is the greater of statutory net income for the preceding calendar year or 10% of the statutory surplus at the end of the preceding calendar year, provided that such dividends may only be paid out of the earned surplus of each of the companies without obtaining regulatory approvals. In California, the domiciliary state of Falls Lake Fire and Casualty, this limitation is the greater of statutory net income for the preceding calendar year or 10% of the statutory surplus at the end of the preceding calendar year, provided that such dividends may only be paid out of unassigned surplus without obtaining regulatory approval. In addition, insurance regulators have broad powers to prevent reduction of statutory surplus to inadequate levels and could refuse to permit the payment of dividends calculated under any applicable formula.</w:t>
      </w:r>
    </w:p>
    <w:p>
      <w:pPr>
        <w:spacing w:after="0" w:line="79" w:lineRule="exact"/>
        <w:rPr>
          <w:sz w:val="20"/>
          <w:szCs w:val="20"/>
          <w:color w:val="auto"/>
        </w:rPr>
      </w:pPr>
    </w:p>
    <w:p>
      <w:pPr>
        <w:ind w:right="120" w:firstLine="323"/>
        <w:spacing w:after="0" w:line="264" w:lineRule="auto"/>
        <w:rPr>
          <w:sz w:val="20"/>
          <w:szCs w:val="20"/>
          <w:color w:val="auto"/>
        </w:rPr>
      </w:pPr>
      <w:r>
        <w:rPr>
          <w:rFonts w:ascii="Times New Roman" w:cs="Times New Roman" w:eastAsia="Times New Roman" w:hAnsi="Times New Roman"/>
          <w:sz w:val="18"/>
          <w:szCs w:val="18"/>
          <w:color w:val="auto"/>
        </w:rPr>
        <w:t>Premium rate regulation varies greatly among jurisdictions and lines of insurance. In most states in which our subsidiaries write insurance, premium rates for the various lines of insurance are subject to either prior approval or limited review upon implementation. States require rates for property-casualty insurance that are adequate, not excessive, and not unfairly discriminatory.</w:t>
      </w:r>
    </w:p>
    <w:p>
      <w:pPr>
        <w:spacing w:after="0" w:line="69" w:lineRule="exact"/>
        <w:rPr>
          <w:sz w:val="20"/>
          <w:szCs w:val="20"/>
          <w:color w:val="auto"/>
        </w:rPr>
      </w:pPr>
    </w:p>
    <w:p>
      <w:pPr>
        <w:ind w:right="140" w:firstLine="323"/>
        <w:spacing w:after="0" w:line="264" w:lineRule="auto"/>
        <w:rPr>
          <w:sz w:val="20"/>
          <w:szCs w:val="20"/>
          <w:color w:val="auto"/>
        </w:rPr>
      </w:pPr>
      <w:r>
        <w:rPr>
          <w:rFonts w:ascii="Times New Roman" w:cs="Times New Roman" w:eastAsia="Times New Roman" w:hAnsi="Times New Roman"/>
          <w:sz w:val="18"/>
          <w:szCs w:val="18"/>
          <w:color w:val="auto"/>
        </w:rPr>
        <w:t>Our insurance subsidiaries are required to file quarterly and annual reports with the appropriate regulatory agency in its state of domicile and with The National Association of Insurance Commissioners (“NAIC”) based on applicable statutory regulations, which differ from U.S. generally accepted accounting principles. Their business and accounts are subject to examination by such agencies at any time.</w:t>
      </w:r>
    </w:p>
    <w:p>
      <w:pPr>
        <w:spacing w:after="0" w:line="69" w:lineRule="exact"/>
        <w:rPr>
          <w:sz w:val="20"/>
          <w:szCs w:val="20"/>
          <w:color w:val="auto"/>
        </w:rPr>
      </w:pPr>
    </w:p>
    <w:p>
      <w:pPr>
        <w:ind w:right="160" w:firstLine="323"/>
        <w:spacing w:after="0" w:line="259" w:lineRule="auto"/>
        <w:rPr>
          <w:sz w:val="20"/>
          <w:szCs w:val="20"/>
          <w:color w:val="auto"/>
        </w:rPr>
      </w:pPr>
      <w:r>
        <w:rPr>
          <w:rFonts w:ascii="Times New Roman" w:cs="Times New Roman" w:eastAsia="Times New Roman" w:hAnsi="Times New Roman"/>
          <w:sz w:val="18"/>
          <w:szCs w:val="18"/>
          <w:color w:val="auto"/>
        </w:rPr>
        <w:t>Many jurisdictions have laws and regulations that limit an insurer’s ability to withdraw from a particular market. For example, states may limit an insurer’s ability to cancel or non-renew policies. Furthermore, certain states prohibit an insurer from withdrawing one or more lines of business from the states, except pursuant to a plan approved by the state insurance department. Laws and regulations that limit cancellation and non-renewal and that subject program withdrawals to prior approval requirements may restrict our ability to exit unprofitable marketplaces in a timely manner.</w:t>
      </w:r>
    </w:p>
    <w:p>
      <w:pPr>
        <w:spacing w:after="0" w:line="74" w:lineRule="exact"/>
        <w:rPr>
          <w:sz w:val="20"/>
          <w:szCs w:val="20"/>
          <w:color w:val="auto"/>
        </w:rPr>
      </w:pPr>
    </w:p>
    <w:p>
      <w:pPr>
        <w:ind w:firstLine="323"/>
        <w:spacing w:after="0" w:line="251" w:lineRule="auto"/>
        <w:rPr>
          <w:sz w:val="20"/>
          <w:szCs w:val="20"/>
          <w:color w:val="auto"/>
        </w:rPr>
      </w:pPr>
      <w:r>
        <w:rPr>
          <w:rFonts w:ascii="Times New Roman" w:cs="Times New Roman" w:eastAsia="Times New Roman" w:hAnsi="Times New Roman"/>
          <w:sz w:val="18"/>
          <w:szCs w:val="18"/>
          <w:color w:val="auto"/>
        </w:rPr>
        <w:t>State laws governing insurance holding companies and insurance companies require an insurance holding company and their insurance subsidiaries to register with the insurance department authority, to file certain reports disclosing information, including but not limited to capital structure, ownership, management, and financial condition. Such holding company laws also impose standards and filing requirements on certain transactions between related companies, which include, among other requirements, that all transactions be fair and reasonable, that an insurer’s surplus as regards policyholders be reasonable and adequate in relation to its liabilities and that expenses and payments be allocated to the appropriate party in accordance with customary accounting practices. These transactions between related companies include transfers of assets, loans, reinsurance agreements, service agreements, certain dividend payments by the insurance companies and certain other material transactions and modifications to such transactions. In 2012, the NAIC adopted significant changes to the insurance holding company act and regulations (the “NAIC Amendments”). The NAIC Amendments, when adopted by the various states, are designed to respond to perceived gaps in the regulation of insurance holding company systems in the United States. One of the major changes is a requirement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Other changes include (i) requiring a controlling person to submit prior notice to its domiciliary insurance regulator of its divestiture of control, (ii) having detailed minimum</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requirements for cost sharing and management agreements between an insurer and its affiliates and (iii) expanding the types of agreements between an insurer and its affiliates to be filed with its domiciliary insurance regulator. The NAIC Amendments must be adopted by a state legislature and such state’s insurance regulator in order to be effective in that state. Each of California and Ohio, the states in which our U.S. insurance subsidiaries are domiciled, include this enterprise risk report. In addition, in 2012, the NAIC adopted the Risk Management and Own Risk and Solvency Assessment Model Act (the “ORSA Model Act”). The ORSA Model Act, when adopted by the various states, requires an insurance holding company system’s Chief Risk Officer to submit at least annually to its lead state insurance regulator an Own Risk and Solvency Assessment Summary Report (“ORSA”). The ORSA is a confidential internal assessment, appropriate to the nature, scale and complexity of an insurer, of the material and relevant risks identified by the insurer associated with an insurer’s current business plan and the sufficiency of capital resources to support those risks. The ORSA Model Act must be adopted by a state legislature in order to be effective in that state. Each of California and Ohio, the states in which our U.S. insurance subsidiaries are domiciled, adopted and require an ORSA filing.</w:t>
      </w:r>
    </w:p>
    <w:p>
      <w:pPr>
        <w:spacing w:after="0" w:line="84" w:lineRule="exact"/>
        <w:rPr>
          <w:sz w:val="20"/>
          <w:szCs w:val="20"/>
          <w:color w:val="auto"/>
        </w:rPr>
      </w:pPr>
    </w:p>
    <w:p>
      <w:pPr>
        <w:ind w:firstLine="323"/>
        <w:spacing w:after="0" w:line="254" w:lineRule="auto"/>
        <w:rPr>
          <w:sz w:val="20"/>
          <w:szCs w:val="20"/>
          <w:color w:val="auto"/>
        </w:rPr>
      </w:pPr>
      <w:r>
        <w:rPr>
          <w:rFonts w:ascii="Times New Roman" w:cs="Times New Roman" w:eastAsia="Times New Roman" w:hAnsi="Times New Roman"/>
          <w:sz w:val="18"/>
          <w:szCs w:val="18"/>
          <w:color w:val="auto"/>
        </w:rPr>
        <w:t>The insurance holding company laws and regulations of the states in which our insurance companies are domiciled also generally require that before a person can acquire direct or indirect control of an insurer domiciled in the state, and in some cases prior to divesting its control, prior written approval must be obtained from the insurer’s domiciliary state insurance regulator. These laws discourage potential acquisition proposals and may delay, deter or prevent an investment in or a change of control involving us, or one or more of our regulated subsidiaries, including transactions that our management and some or all of our shareholders might consider desirable. Pursuant to applicable laws and regulations, “control” over an insurer is generally presumed to exist if any person, directly or indirectly, owns, controls, holds the power to vote or holds proxies representing 10 percent or more of the voting securities of that insurer. Indirect ownership includes ownership of the Company’s common shares.</w:t>
      </w:r>
    </w:p>
    <w:p>
      <w:pPr>
        <w:spacing w:after="0" w:line="79" w:lineRule="exact"/>
        <w:rPr>
          <w:sz w:val="20"/>
          <w:szCs w:val="20"/>
          <w:color w:val="auto"/>
        </w:rPr>
      </w:pPr>
    </w:p>
    <w:p>
      <w:pPr>
        <w:ind w:right="160" w:firstLine="323"/>
        <w:spacing w:after="0" w:line="279" w:lineRule="auto"/>
        <w:rPr>
          <w:sz w:val="20"/>
          <w:szCs w:val="20"/>
          <w:color w:val="auto"/>
        </w:rPr>
      </w:pPr>
      <w:r>
        <w:rPr>
          <w:rFonts w:ascii="Times New Roman" w:cs="Times New Roman" w:eastAsia="Times New Roman" w:hAnsi="Times New Roman"/>
          <w:sz w:val="17"/>
          <w:szCs w:val="17"/>
          <w:color w:val="auto"/>
        </w:rPr>
        <w:t>Under state insurance guaranty fund laws, insurance companies doing business in a state can be assessed for certain obligations of insolvent insurance companies to such insolvent companies’ policyholders and claimants. Maximum assessments allowed in any one year generally vary between one percent and two percent of annual premiums written in that state, but it is possible that caps on such assessments could be raised if there are numerous or large insolvencies. In most states, guaranty fund assessments are recoverable either through future policy surcharges or offsets to state premium tax liabilities.</w:t>
      </w:r>
    </w:p>
    <w:p>
      <w:pPr>
        <w:spacing w:after="0" w:line="58" w:lineRule="exact"/>
        <w:rPr>
          <w:sz w:val="20"/>
          <w:szCs w:val="20"/>
          <w:color w:val="auto"/>
        </w:rPr>
      </w:pPr>
    </w:p>
    <w:p>
      <w:pPr>
        <w:ind w:right="140" w:firstLine="323"/>
        <w:spacing w:after="0" w:line="259" w:lineRule="auto"/>
        <w:rPr>
          <w:sz w:val="20"/>
          <w:szCs w:val="20"/>
          <w:color w:val="auto"/>
        </w:rPr>
      </w:pPr>
      <w:r>
        <w:rPr>
          <w:rFonts w:ascii="Times New Roman" w:cs="Times New Roman" w:eastAsia="Times New Roman" w:hAnsi="Times New Roman"/>
          <w:sz w:val="18"/>
          <w:szCs w:val="18"/>
          <w:color w:val="auto"/>
        </w:rPr>
        <w:t>The admitted market is subject to more state regulation than the E&amp;S market, particularly with regard to rate and form filing requirements, restrictions on the ability to exit lines of business, premium tax payments and membership in various state associations, such as guaranty funds. Some states have deregulated their commercial insurance markets. We cannot predict the effect that further deregulation would have on our business, financial condition or results of operations.</w:t>
      </w:r>
    </w:p>
    <w:p>
      <w:pPr>
        <w:spacing w:after="0" w:line="74" w:lineRule="exact"/>
        <w:rPr>
          <w:sz w:val="20"/>
          <w:szCs w:val="20"/>
          <w:color w:val="auto"/>
        </w:rPr>
      </w:pPr>
    </w:p>
    <w:p>
      <w:pPr>
        <w:ind w:right="40" w:firstLine="323"/>
        <w:spacing w:after="0" w:line="253" w:lineRule="auto"/>
        <w:rPr>
          <w:sz w:val="20"/>
          <w:szCs w:val="20"/>
          <w:color w:val="auto"/>
        </w:rPr>
      </w:pPr>
      <w:r>
        <w:rPr>
          <w:rFonts w:ascii="Times New Roman" w:cs="Times New Roman" w:eastAsia="Times New Roman" w:hAnsi="Times New Roman"/>
          <w:sz w:val="18"/>
          <w:szCs w:val="18"/>
          <w:color w:val="auto"/>
        </w:rPr>
        <w:t>The state insurance regulators utilize a risk-based capital model to help assess the capital and surplus adequacy of insurance companies in relation to investment and insurance risks and identify insurers that are in, or are perceived as approaching, financial difficulty. This model establishes minimum capital needs based on the risks applicable to the operations of the individual insurer. The risk-based capital requirements for property-casualty insurance companies measure three major areas of risk: asset risk, credit risk and underwriting risk. Under risk-based capital requirements, regulatory compliance is determined by the ratio of a company’s total adjusted capital, as defined by the NAIC, to its company action level risk-based capital. Companies having less statutory surplus than required by the risk-based capital requirements are subject to varying degrees of regulatory scrutiny and intervention, depending on the severity of the inadequacy. At December 31, 2024, the Company’s U.S.-based insurance subsidiaries had total adjusted statutory capital of $643.0 million, which is in excess of the minimum risk-based capital requirement.</w:t>
      </w:r>
    </w:p>
    <w:p>
      <w:pPr>
        <w:spacing w:after="0" w:line="82" w:lineRule="exact"/>
        <w:rPr>
          <w:sz w:val="20"/>
          <w:szCs w:val="20"/>
          <w:color w:val="auto"/>
        </w:rPr>
      </w:pPr>
    </w:p>
    <w:p>
      <w:pPr>
        <w:ind w:right="20" w:firstLine="323"/>
        <w:spacing w:after="0" w:line="271" w:lineRule="auto"/>
        <w:rPr>
          <w:sz w:val="20"/>
          <w:szCs w:val="20"/>
          <w:color w:val="auto"/>
        </w:rPr>
      </w:pPr>
      <w:r>
        <w:rPr>
          <w:rFonts w:ascii="Times New Roman" w:cs="Times New Roman" w:eastAsia="Times New Roman" w:hAnsi="Times New Roman"/>
          <w:sz w:val="17"/>
          <w:szCs w:val="17"/>
          <w:color w:val="auto"/>
        </w:rPr>
        <w:t>In response to the growing threat of cyber-attacks in the insurance industry, certain jurisdictions have begun to consider new cybersecurity measures, including the adoption of cybersecurity laws and regulations which, among other things, would require insurance companies to establish and maintain a cybersecurity program and implement and maintain cybersecurity policies and procedures.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Most states have either adopted the NAIC Insurance Data Security Model Law or similar laws that govern the cybersecurity and data protection practices of insurers, insurance agents, and other licensed entities registered under state insurance laws. We continue to monitor whether additional states in which we conduct business adopt the NAIC’s Insurance Data Security Model Law.</w:t>
      </w:r>
    </w:p>
    <w:p>
      <w:pPr>
        <w:spacing w:after="0" w:line="67" w:lineRule="exact"/>
        <w:rPr>
          <w:sz w:val="20"/>
          <w:szCs w:val="20"/>
          <w:color w:val="auto"/>
        </w:rPr>
      </w:pPr>
    </w:p>
    <w:p>
      <w:pPr>
        <w:ind w:right="200" w:firstLine="323"/>
        <w:spacing w:after="0" w:line="279" w:lineRule="auto"/>
        <w:rPr>
          <w:sz w:val="20"/>
          <w:szCs w:val="20"/>
          <w:color w:val="auto"/>
        </w:rPr>
      </w:pPr>
      <w:r>
        <w:rPr>
          <w:rFonts w:ascii="Times New Roman" w:cs="Times New Roman" w:eastAsia="Times New Roman" w:hAnsi="Times New Roman"/>
          <w:sz w:val="17"/>
          <w:szCs w:val="17"/>
          <w:color w:val="auto"/>
        </w:rPr>
        <w:t>From time to time, states consider and/or enact laws that may alter or increase state authority to regulate insurance companies and insurance holding companies. States also consider and/or enact laws that impact the competitive environment and marketplace for property-casualty insurance. Changes in legislation or regulations and actions by regulators, including changes in administrative and enforcement policies, could require operational modifications from time to time. We cannot predict the effect that such changes or actions would have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Regulation</w:t>
      </w:r>
    </w:p>
    <w:p>
      <w:pPr>
        <w:spacing w:after="0" w:line="119" w:lineRule="exact"/>
        <w:rPr>
          <w:sz w:val="20"/>
          <w:szCs w:val="20"/>
          <w:color w:val="auto"/>
        </w:rPr>
      </w:pPr>
    </w:p>
    <w:p>
      <w:pPr>
        <w:ind w:right="20" w:firstLine="323"/>
        <w:spacing w:after="0" w:line="252" w:lineRule="auto"/>
        <w:rPr>
          <w:sz w:val="20"/>
          <w:szCs w:val="20"/>
          <w:color w:val="auto"/>
        </w:rPr>
      </w:pPr>
      <w:r>
        <w:rPr>
          <w:rFonts w:ascii="Times New Roman" w:cs="Times New Roman" w:eastAsia="Times New Roman" w:hAnsi="Times New Roman"/>
          <w:sz w:val="18"/>
          <w:szCs w:val="18"/>
          <w:color w:val="auto"/>
        </w:rPr>
        <w:t>The U.S. federal government generally has not directly regulated the insurance industry except for certain areas of the market, such as insurance for flood, nuclear and terrorism risks. However, the U.S. federal government has undertaken initiatives or considered legislation in several areas that may impact the insurance industry, including tort reform, corporate governance and the taxation of reinsurance companies. The Dodd-Frank Wall Street Reform and Consumer Protection Act (the “Dodd-Frank Act”) established the Federal Insurance Office which is authorized to study, monitor and report to Congress on the insurance industry and to recommend that the Financial Stability Oversight Council (“FSOC”) designate an insurer as an entity posing risks to the U.S. financial stability in the event of the insurer’s material financial distress or failure. In December 2013, the Federal Insurance Office issued a report on alternatives to modernize and improve the system of insurance regulation in the United States, including by increasing national uniformity through either a federal charter or effective action by the states. Additionally, the Dodd-Frank Act streamlined E&amp;S placements, the payment of E&amp;S taxes, the regulation of credit for reinsurance, and simplified the process for insurers to become an eligible E&amp;S insurer in the United States. In addition, legislation has been introduced from time to time that, if enacted, could result in the U.S. federal government assuming a more direct role in the regulation of the insurance industry, including federal licensing in addition to or in lieu of state licensing and reinsurance for natural catastrophes. Changes to federal legislation and administrative policies in several areas, including changes in federal taxation, can also significantly impact the insurance industry and us.</w:t>
      </w:r>
    </w:p>
    <w:p>
      <w:pPr>
        <w:spacing w:after="0" w:line="79" w:lineRule="exact"/>
        <w:rPr>
          <w:sz w:val="20"/>
          <w:szCs w:val="20"/>
          <w:color w:val="auto"/>
        </w:rPr>
      </w:pPr>
    </w:p>
    <w:p>
      <w:pPr>
        <w:ind w:right="40" w:firstLine="323"/>
        <w:spacing w:after="0" w:line="256" w:lineRule="auto"/>
        <w:rPr>
          <w:sz w:val="20"/>
          <w:szCs w:val="20"/>
          <w:color w:val="auto"/>
        </w:rPr>
      </w:pPr>
      <w:r>
        <w:rPr>
          <w:rFonts w:ascii="Times New Roman" w:cs="Times New Roman" w:eastAsia="Times New Roman" w:hAnsi="Times New Roman"/>
          <w:sz w:val="18"/>
          <w:szCs w:val="18"/>
          <w:color w:val="auto"/>
        </w:rPr>
        <w:t>On December 20, 2019, the Terrorism Risk Insurance Act of 2002 and its successors, the Terrorism Risk Insurance Extension Act of 2005, the Terrorism Risk Insurance Program Reauthorization Act of 2007, and the Terrorism Risk Insurance Program Reauthorization Act of 2015 (collectively, the “Terrorism Acts”), were extended through December 31, 2027. Under the Terrorism Acts, commercial property and casualty insurers, in exchange for making terrorism insurance available, may be entitled to be reimbursed by the federal government for a portion of their aggregate losses. As required by the Terrorism Acts, we offer policyholders in specific lines of commercial insurance the option to elect terrorism coverage.</w:t>
      </w:r>
    </w:p>
    <w:p>
      <w:pPr>
        <w:spacing w:after="0" w:line="79" w:lineRule="exact"/>
        <w:rPr>
          <w:sz w:val="20"/>
          <w:szCs w:val="20"/>
          <w:color w:val="auto"/>
        </w:rPr>
      </w:pPr>
    </w:p>
    <w:p>
      <w:pPr>
        <w:ind w:right="180" w:firstLine="323"/>
        <w:spacing w:after="0" w:line="256" w:lineRule="auto"/>
        <w:rPr>
          <w:sz w:val="20"/>
          <w:szCs w:val="20"/>
          <w:color w:val="auto"/>
        </w:rPr>
      </w:pPr>
      <w:r>
        <w:rPr>
          <w:rFonts w:ascii="Times New Roman" w:cs="Times New Roman" w:eastAsia="Times New Roman" w:hAnsi="Times New Roman"/>
          <w:sz w:val="18"/>
          <w:szCs w:val="18"/>
          <w:color w:val="auto"/>
        </w:rPr>
        <w:t>In order for a loss to be covered under the Terrorism Acts, the loss must meet the aggregate industry loss minimum and must be the result of an act of terrorism as certified by the Secretary of the Treasury. Insurers participating in the Terrorism Acts are required to provide information regarding insurance coverage for terrorism losses, including: (i) lines of business with exposure to such losses, (ii) premiums earned on such coverage, (iii) geographical location of exposures, (iv) pricing of such coverage, (v) the take-up rate for such coverage, and (vi) the amount of private reinsurance for acts of terrorism purchased.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19" w:lineRule="exact"/>
        <w:rPr>
          <w:sz w:val="20"/>
          <w:szCs w:val="20"/>
          <w:color w:val="auto"/>
        </w:rPr>
      </w:pPr>
    </w:p>
    <w:p>
      <w:pPr>
        <w:ind w:right="220" w:firstLine="323"/>
        <w:spacing w:after="0" w:line="280" w:lineRule="auto"/>
        <w:rPr>
          <w:sz w:val="20"/>
          <w:szCs w:val="20"/>
          <w:color w:val="auto"/>
        </w:rPr>
      </w:pPr>
      <w:r>
        <w:rPr>
          <w:rFonts w:ascii="Times New Roman" w:cs="Times New Roman" w:eastAsia="Times New Roman" w:hAnsi="Times New Roman"/>
          <w:sz w:val="18"/>
          <w:szCs w:val="18"/>
          <w:color w:val="auto"/>
        </w:rPr>
        <w:t>For each of the years ended December 31, 2024, 2023 and 2022, 100% of our gross written premiums and net earned premiums were generated from policies issued to U.S.-based insureds.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19" w:lineRule="exact"/>
        <w:rPr>
          <w:sz w:val="20"/>
          <w:szCs w:val="20"/>
          <w:color w:val="auto"/>
        </w:rPr>
      </w:pPr>
    </w:p>
    <w:p>
      <w:pPr>
        <w:ind w:right="260" w:firstLine="323"/>
        <w:spacing w:after="0" w:line="264" w:lineRule="auto"/>
        <w:rPr>
          <w:sz w:val="20"/>
          <w:szCs w:val="20"/>
          <w:color w:val="auto"/>
        </w:rPr>
      </w:pPr>
      <w:r>
        <w:rPr>
          <w:rFonts w:ascii="Times New Roman" w:cs="Times New Roman" w:eastAsia="Times New Roman" w:hAnsi="Times New Roman"/>
          <w:sz w:val="18"/>
          <w:szCs w:val="18"/>
          <w:color w:val="auto"/>
        </w:rPr>
        <w:t>We believe that by understanding and leveraging the different dimensions of diversity in our workforce, we drive empowerment, collaboration and innovation needed to be a leader in our industry. As of December 31, 2024, we had 645 employees located in the United States and Bermuda, all but two classified as full-time.</w:t>
      </w:r>
    </w:p>
    <w:p>
      <w:pPr>
        <w:spacing w:after="0" w:line="69" w:lineRule="exact"/>
        <w:rPr>
          <w:sz w:val="20"/>
          <w:szCs w:val="20"/>
          <w:color w:val="auto"/>
        </w:rPr>
      </w:pPr>
    </w:p>
    <w:p>
      <w:pPr>
        <w:ind w:firstLine="323"/>
        <w:spacing w:after="0" w:line="255" w:lineRule="auto"/>
        <w:rPr>
          <w:sz w:val="20"/>
          <w:szCs w:val="20"/>
          <w:color w:val="auto"/>
        </w:rPr>
      </w:pPr>
      <w:r>
        <w:rPr>
          <w:rFonts w:ascii="Times New Roman" w:cs="Times New Roman" w:eastAsia="Times New Roman" w:hAnsi="Times New Roman"/>
          <w:sz w:val="18"/>
          <w:szCs w:val="18"/>
          <w:color w:val="auto"/>
        </w:rPr>
        <w:t>Over the last year, our Diversity, Equity and Inclusion (DEI) Committee continued to make progress in bringing additional awareness and focus to diversity and inclusion throughout the company. The Committee is made up of employees from all segments, levels and office locations and represents a broad range of identities, experiences and perspectives. The primary objectives of the Committee is to identify opportunities to support the Company’s commitment to help all employees thrive professionally and enjoy a welcoming and respectful working environment. In 2024, the Committee’s actions were complemented by our three Employee Resource Groups, which offered all employees access to quarterly events and activities focused on awareness and learning, inclusion and career development.</w:t>
      </w:r>
    </w:p>
    <w:p>
      <w:pPr>
        <w:spacing w:after="0" w:line="78" w:lineRule="exact"/>
        <w:rPr>
          <w:sz w:val="20"/>
          <w:szCs w:val="20"/>
          <w:color w:val="auto"/>
        </w:rPr>
      </w:pPr>
    </w:p>
    <w:p>
      <w:pPr>
        <w:ind w:firstLine="323"/>
        <w:spacing w:after="0" w:line="259" w:lineRule="auto"/>
        <w:rPr>
          <w:sz w:val="20"/>
          <w:szCs w:val="20"/>
          <w:color w:val="auto"/>
        </w:rPr>
      </w:pPr>
      <w:r>
        <w:rPr>
          <w:rFonts w:ascii="Times New Roman" w:cs="Times New Roman" w:eastAsia="Times New Roman" w:hAnsi="Times New Roman"/>
          <w:sz w:val="18"/>
          <w:szCs w:val="18"/>
          <w:color w:val="auto"/>
        </w:rPr>
        <w:t>We recognize the mutual benefits for our company and our employees to further their formal education and professional development. We offer all employees opportunities for career development through our Employee Development and Education Assistance program, mentorship program and access to interactive career guides. Additionally, employees have access to an online learning management system that hosts courses and modules across a wide range of topics.</w:t>
      </w:r>
    </w:p>
    <w:p>
      <w:pPr>
        <w:spacing w:after="0" w:line="74" w:lineRule="exact"/>
        <w:rPr>
          <w:sz w:val="20"/>
          <w:szCs w:val="20"/>
          <w:color w:val="auto"/>
        </w:rPr>
      </w:pPr>
    </w:p>
    <w:p>
      <w:pPr>
        <w:ind w:right="20" w:firstLine="323"/>
        <w:spacing w:after="0" w:line="259" w:lineRule="auto"/>
        <w:rPr>
          <w:sz w:val="20"/>
          <w:szCs w:val="20"/>
          <w:color w:val="auto"/>
        </w:rPr>
      </w:pPr>
      <w:r>
        <w:rPr>
          <w:rFonts w:ascii="Times New Roman" w:cs="Times New Roman" w:eastAsia="Times New Roman" w:hAnsi="Times New Roman"/>
          <w:sz w:val="18"/>
          <w:szCs w:val="18"/>
          <w:color w:val="auto"/>
        </w:rPr>
        <w:t>We offer a competitive benefits package that is designed to support the well-being of our employees. Our benefits include medical, dental and vision insurance, a comprehensive employee assistance program to support the mental health of our employees and their families, employer-paid life and disability plans, contributions to employee retirement accounts through a company match with immediate vesting as well as paid parental leave and adoption assistance.</w:t>
      </w:r>
    </w:p>
    <w:p>
      <w:pPr>
        <w:spacing w:after="0" w:line="74" w:lineRule="exact"/>
        <w:rPr>
          <w:sz w:val="20"/>
          <w:szCs w:val="20"/>
          <w:color w:val="auto"/>
        </w:rPr>
      </w:pPr>
    </w:p>
    <w:p>
      <w:pPr>
        <w:jc w:val="both"/>
        <w:ind w:right="500" w:firstLine="323"/>
        <w:spacing w:after="0" w:line="264" w:lineRule="auto"/>
        <w:rPr>
          <w:sz w:val="20"/>
          <w:szCs w:val="20"/>
          <w:color w:val="auto"/>
        </w:rPr>
      </w:pPr>
      <w:r>
        <w:rPr>
          <w:rFonts w:ascii="Times New Roman" w:cs="Times New Roman" w:eastAsia="Times New Roman" w:hAnsi="Times New Roman"/>
          <w:sz w:val="18"/>
          <w:szCs w:val="18"/>
          <w:color w:val="auto"/>
        </w:rPr>
        <w:t>We continue to encourage a hybrid work model, one that offers our employees a flexible work environment that fosters in-person connection and collaboration and best supports our success as a company. We believe in-office work strengthens our professional relationships and boosts employee training and development opportunities. We also understand that remote work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offers benefits related to individual focus and time management. Hybrid work allows our company to thrive, balancing employee autonomy and satisfaction while preserving essential team communication and connection.</w:t>
      </w:r>
    </w:p>
    <w:p>
      <w:pPr>
        <w:spacing w:after="0" w:line="55" w:lineRule="exact"/>
        <w:rPr>
          <w:sz w:val="20"/>
          <w:szCs w:val="20"/>
          <w:color w:val="auto"/>
        </w:rPr>
      </w:pPr>
    </w:p>
    <w:p>
      <w:pPr>
        <w:ind w:right="160" w:firstLine="323"/>
        <w:spacing w:after="0" w:line="259" w:lineRule="auto"/>
        <w:rPr>
          <w:sz w:val="20"/>
          <w:szCs w:val="20"/>
          <w:color w:val="auto"/>
        </w:rPr>
      </w:pPr>
      <w:r>
        <w:rPr>
          <w:rFonts w:ascii="Times New Roman" w:cs="Times New Roman" w:eastAsia="Times New Roman" w:hAnsi="Times New Roman"/>
          <w:sz w:val="18"/>
          <w:szCs w:val="18"/>
          <w:color w:val="auto"/>
        </w:rPr>
        <w:t>We understand the critical role acknowledging employee contributions plays in improving morale and promoting a sense of purpose and appreciation. We have an Employee Recognition Program offering multiple channels for employees and managers to highlight each other’s accomplishments, mark service anniversaries, and celebrate life events. Employees can earn and award points under the program that they can use to purchase gift cards and merchandise or donate to charitable organizations.</w:t>
      </w:r>
    </w:p>
    <w:p>
      <w:pPr>
        <w:spacing w:after="0" w:line="74" w:lineRule="exact"/>
        <w:rPr>
          <w:sz w:val="20"/>
          <w:szCs w:val="20"/>
          <w:color w:val="auto"/>
        </w:rPr>
      </w:pPr>
    </w:p>
    <w:p>
      <w:pPr>
        <w:ind w:firstLine="323"/>
        <w:spacing w:after="0" w:line="255" w:lineRule="auto"/>
        <w:rPr>
          <w:sz w:val="20"/>
          <w:szCs w:val="20"/>
          <w:color w:val="auto"/>
        </w:rPr>
      </w:pPr>
      <w:r>
        <w:rPr>
          <w:rFonts w:ascii="Times New Roman" w:cs="Times New Roman" w:eastAsia="Times New Roman" w:hAnsi="Times New Roman"/>
          <w:sz w:val="18"/>
          <w:szCs w:val="18"/>
          <w:color w:val="auto"/>
        </w:rPr>
        <w:t>We value the opinions and perspectives of our employees and use the feedback we receive throughout the year to help develop many of our company programs, policies, and benefits. We conduct an annual engagement survey to assess how motivated and engaged our employees are to perform their best each day. We periodically host voluntary focus groups to gain more perspective on our annual engagement survey findings and influence our strategy for the upcoming year. New hire feedback is collected following an employee’s first 30 days of employment, which allows us to reflect upon and improve aspects of our recruitment and onboarding processes. In addition to the formal surveys, we collect valuable input through our Employee Suggestion Program and pulse surveys where employees may express their feedback regarding any aspect of their employment with our company.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9" w:lineRule="exact"/>
        <w:rPr>
          <w:sz w:val="20"/>
          <w:szCs w:val="20"/>
          <w:color w:val="auto"/>
        </w:rPr>
      </w:pPr>
    </w:p>
    <w:p>
      <w:pPr>
        <w:ind w:right="440" w:firstLine="323"/>
        <w:spacing w:after="0" w:line="264" w:lineRule="auto"/>
        <w:rPr>
          <w:sz w:val="20"/>
          <w:szCs w:val="20"/>
          <w:color w:val="auto"/>
        </w:rPr>
      </w:pPr>
      <w:r>
        <w:rPr>
          <w:rFonts w:ascii="Times New Roman" w:cs="Times New Roman" w:eastAsia="Times New Roman" w:hAnsi="Times New Roman"/>
          <w:sz w:val="18"/>
          <w:szCs w:val="18"/>
          <w:color w:val="auto"/>
        </w:rPr>
        <w:t>We hold U.S. federal service mark registration of our corporate logo and several other company trademark registrations with the U.S. Patent and Trademark Office. Such registrations protect our intellectual property from confusingly similar use. We monitor our trademarks and service marks and protect them from unauthorized use.</w:t>
      </w:r>
    </w:p>
    <w:p>
      <w:pPr>
        <w:spacing w:after="0" w:line="69" w:lineRule="exact"/>
        <w:rPr>
          <w:sz w:val="20"/>
          <w:szCs w:val="20"/>
          <w:color w:val="auto"/>
        </w:rPr>
      </w:pPr>
    </w:p>
    <w:p>
      <w:pPr>
        <w:ind w:right="60" w:firstLine="323"/>
        <w:spacing w:after="0" w:line="280" w:lineRule="auto"/>
        <w:rPr>
          <w:sz w:val="20"/>
          <w:szCs w:val="20"/>
          <w:color w:val="auto"/>
        </w:rPr>
      </w:pPr>
      <w:r>
        <w:rPr>
          <w:rFonts w:ascii="Times New Roman" w:cs="Times New Roman" w:eastAsia="Times New Roman" w:hAnsi="Times New Roman"/>
          <w:sz w:val="18"/>
          <w:szCs w:val="18"/>
          <w:color w:val="auto"/>
        </w:rPr>
        <w:t>We use licensed and proprietary systems and technologies in our underwriting. The licenses have terms that expire at various times. We believe that we can utilize other available systems and technologies in the event that the licenses are not renewed upon their expiration.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ind w:firstLine="323"/>
        <w:spacing w:after="0" w:line="255"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and other information with the SEC. The SEC maintains an Internet web site that contains reports, proxy and information statements and other information regarding issuers, including us, that file electronically with the SEC. The address of that site is https://www.sec.gov. Our annual reports on Form 10-K, quarterly reports on Form 10-Q and current reports on Form 8-K and other information filed by us with the SEC are available, without charge, on our Internet web site, https://jrvrgroup.com, as soon as reasonably practicable after they are filed electronically with the SEC. Copies are also available, without charge, by writing to us at James River Group Holdings, Ltd., Clarendon House, 2 Church Street, Hamilton HM 11, Bermuda. The information on our web site is not a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60" w:firstLine="323"/>
        <w:spacing w:after="0" w:line="256" w:lineRule="auto"/>
        <w:rPr>
          <w:sz w:val="20"/>
          <w:szCs w:val="20"/>
          <w:color w:val="auto"/>
        </w:rPr>
      </w:pPr>
      <w:r>
        <w:rPr>
          <w:rFonts w:ascii="Times New Roman" w:cs="Times New Roman" w:eastAsia="Times New Roman" w:hAnsi="Times New Roman"/>
          <w:sz w:val="18"/>
          <w:szCs w:val="18"/>
          <w:color w:val="auto"/>
        </w:rPr>
        <w:t>You should carefully consider the following risks, together with the cautionary statement under the caption “Special Note Regarding Forward-Looking Statements” above and the other information included in this Annual Report. The risks described below are not the only ones we face. Additional risks that are currently unknown to us or that we currently consider immaterial may also impair our business or materially adversely affect our financial condition or results of operations. If any of the following risks actually occurs, our business, financial condition or results of operation could be materially adversely affected.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31" w:lineRule="exact"/>
        <w:rPr>
          <w:sz w:val="20"/>
          <w:szCs w:val="20"/>
          <w:color w:val="auto"/>
        </w:rPr>
      </w:pPr>
    </w:p>
    <w:p>
      <w:pPr>
        <w:ind w:left="660" w:right="300" w:hanging="330"/>
        <w:spacing w:after="0" w:line="24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Reserving for losses is an inherently uncertain process, and our actual incurred losses may be greater than our loss and loss adjustment expense reserves, which could have a material adverse effect on our financial condition and results of operations.</w:t>
      </w: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is based on estimates and judgments that are subject to significant uncertainties.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financial strength rating may result in a reduction of new or renewal business.</w:t>
      </w:r>
    </w:p>
    <w:p>
      <w:pPr>
        <w:spacing w:after="0" w:line="8" w:lineRule="exact"/>
        <w:rPr>
          <w:rFonts w:ascii="Times New Roman" w:cs="Times New Roman" w:eastAsia="Times New Roman" w:hAnsi="Times New Roman"/>
          <w:sz w:val="18"/>
          <w:szCs w:val="18"/>
          <w:color w:val="auto"/>
        </w:rPr>
      </w:pPr>
    </w:p>
    <w:p>
      <w:pPr>
        <w:ind w:left="660" w:right="160" w:hanging="330"/>
        <w:spacing w:after="0" w:line="24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retain key management and employees or recruit other qualified personnel, and as a result we may not be able to grow our business and may also be materially adversely affected.</w:t>
      </w:r>
    </w:p>
    <w:p>
      <w:pPr>
        <w:ind w:left="660" w:right="260" w:hanging="330"/>
        <w:spacing w:after="0" w:line="24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factors could result in the sale of fewer policies than expected or an increase in frequency or severity of claims and premium defaults or both, which, in turn, could affect our growth and profitability.</w:t>
      </w:r>
    </w:p>
    <w:p>
      <w:pPr>
        <w:ind w:left="660" w:right="240" w:hanging="330"/>
        <w:spacing w:after="0" w:line="24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distribute products through a select group of brokers and agents, several of which account for a significant portion of our business, and such relationships may not continue, or if they do continue, the relationship may not be on favorable terms to us.</w:t>
      </w:r>
    </w:p>
    <w:p>
      <w:pPr>
        <w:ind w:left="660" w:right="120" w:hanging="330"/>
        <w:spacing w:after="0" w:line="24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agents that produce our business may not forward premiums to us that they collect from our policyholders, and as a result, we may not receive compensation for coverage set forth in the underlying policy.</w:t>
      </w:r>
    </w:p>
    <w:p>
      <w:pPr>
        <w:ind w:left="660" w:right="120" w:hanging="330"/>
        <w:spacing w:after="0" w:line="24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select group of customers for a significant portion of our business, and the continued loss or termination of our relationship with any such customers, or a material reduction in their business, could materially adversely affect our rate of growth, results of operations and financial condition.</w:t>
      </w: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reinsurance coverage at reasonable prices or on terms that provide us adequate protection.</w:t>
      </w:r>
    </w:p>
    <w:p>
      <w:pPr>
        <w:spacing w:after="0" w:line="8"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primary liability on our insurance policies for losses, even if reinsurance counterparties or insurance companies with which we have a fronting arrangement fail to make any contractually obligated payments with respect to such loss, or if we do not receive indemnification payments pursuant to an arrangement we have with a former customer.</w:t>
      </w:r>
    </w:p>
    <w:p>
      <w:pPr>
        <w:ind w:left="660" w:right="120" w:hanging="330"/>
        <w:spacing w:after="0" w:line="24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underwrite risks accurately and charge and collect competitive yet profitable rates to our policyholders, our business, financial condition and results of operations will be materially adversely affected.</w:t>
      </w:r>
    </w:p>
    <w:p>
      <w:pPr>
        <w:ind w:left="660" w:right="560" w:hanging="330"/>
        <w:spacing w:after="0" w:line="24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of the loss limitations or exclusions we employ, or changes in other claims or coverage issues, could result in higher than anticipated losses.</w:t>
      </w:r>
    </w:p>
    <w:p>
      <w:pPr>
        <w:ind w:left="660" w:right="380" w:hanging="330"/>
        <w:spacing w:after="0" w:line="24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emerging claim and coverage issues on our business is uncertain and may result in coverage of risks that we did not factor in our policy prices.</w:t>
      </w:r>
    </w:p>
    <w:p>
      <w:pPr>
        <w:ind w:left="660" w:right="20" w:hanging="330"/>
        <w:spacing w:after="0" w:line="24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 is subject to significant market and credit risks, which could result in a material adverse impact on our financial condition or results of operations.</w:t>
      </w:r>
    </w:p>
    <w:p>
      <w:pPr>
        <w:jc w:val="both"/>
        <w:ind w:left="660" w:right="200" w:hanging="330"/>
        <w:spacing w:after="0" w:line="24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and the cost of compliance with such regulation or new regulation, or the results of non-compliance, may materially adversely affect our ability to achieve our business objectives and additionally may materially adversely affect our financial condition and results of operations.</w:t>
      </w:r>
    </w:p>
    <w:p>
      <w:pPr>
        <w:ind w:left="660" w:right="20" w:hanging="330"/>
        <w:spacing w:after="0" w:line="263" w:lineRule="auto"/>
        <w:tabs>
          <w:tab w:leader="none" w:pos="6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exposure to losses arising from unpredictable natural disasters, terrorist acts, and other catastrophic events, the occurrence of which could result in an increase in the number or value of claims and could exceed the amount of reinsurance we purchased to protect us from such claims.</w:t>
      </w:r>
    </w:p>
    <w:p>
      <w:pPr>
        <w:spacing w:after="0" w:line="1" w:lineRule="exact"/>
        <w:rPr>
          <w:rFonts w:ascii="Times New Roman" w:cs="Times New Roman" w:eastAsia="Times New Roman" w:hAnsi="Times New Roman"/>
          <w:sz w:val="17"/>
          <w:szCs w:val="17"/>
          <w:color w:val="auto"/>
        </w:rPr>
      </w:pPr>
    </w:p>
    <w:p>
      <w:pPr>
        <w:ind w:left="660" w:right="100" w:hanging="330"/>
        <w:spacing w:after="0" w:line="24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agents we have appointed, may act based on inaccurate or incomplete information regarding the accounts we underwrite, which may cause us to misunderstand the level of risk we are insuring.</w:t>
      </w:r>
    </w:p>
    <w:p>
      <w:pPr>
        <w:ind w:left="660" w:right="300" w:hanging="330"/>
        <w:spacing w:after="0" w:line="24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Agents may exceed their authority or commit fraud when binding policies on our behalf, which may expose us to reputational harm, regulatory intervention or adversely affect our financial condition and results of operations.</w:t>
      </w: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forced to sell investments to meet our liquidity requirements, causing us to incur losses on the investments.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in the future, which may not be available or available only on unfavorable terms.</w:t>
      </w:r>
    </w:p>
    <w:p>
      <w:pPr>
        <w:spacing w:after="0" w:line="8" w:lineRule="exact"/>
        <w:rPr>
          <w:rFonts w:ascii="Times New Roman" w:cs="Times New Roman" w:eastAsia="Times New Roman" w:hAnsi="Times New Roman"/>
          <w:sz w:val="18"/>
          <w:szCs w:val="18"/>
          <w:color w:val="auto"/>
        </w:rPr>
      </w:pPr>
    </w:p>
    <w:p>
      <w:pPr>
        <w:ind w:left="660" w:right="20" w:hanging="330"/>
        <w:spacing w:after="0" w:line="24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agreement contains financial and other covenants, the breach of which could result in acceleration of payment of amounts due under our credit facility.</w:t>
      </w:r>
    </w:p>
    <w:p>
      <w:pPr>
        <w:ind w:left="660" w:right="440" w:hanging="330"/>
        <w:spacing w:after="0" w:line="24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environment, and may not be able to continue to compete effectively with larger or more well-established rivals.</w:t>
      </w: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keep pace with the technological advancements in the insurance industry, our ability to compete effectively could be impaired.</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right="420" w:hanging="330"/>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actual renewals of our existing contracts do not meet expectations, our premiums written in future years and our future results of operations could be materially adversely affected.</w:t>
      </w:r>
    </w:p>
    <w:p>
      <w:pPr>
        <w:ind w:left="660" w:right="760" w:hanging="330"/>
        <w:spacing w:after="0" w:line="24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California, Ohio or any other state in which our insurance companies are admitted significantly increase the assessments our insurance companies are required to pay, our financial condition and results of operations will suffer.</w:t>
      </w:r>
    </w:p>
    <w:p>
      <w:pPr>
        <w:ind w:left="660" w:right="340" w:hanging="330"/>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third-party claims administrators in certain lines of business may achieve less desirable results which could cause us to incur higher losses and loss adjustment expenses.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31" w:lineRule="exact"/>
        <w:rPr>
          <w:sz w:val="20"/>
          <w:szCs w:val="20"/>
          <w:color w:val="auto"/>
        </w:rPr>
      </w:pPr>
    </w:p>
    <w:p>
      <w:pPr>
        <w:ind w:left="660" w:hanging="330"/>
        <w:spacing w:after="0" w:line="24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tax laws (including associated regulations) and the interpretation of certain provisions applicable to insurance businesses with U.S. operations, which may be retroactive, could have a significant impact on the Company and persons who own our shares.</w:t>
      </w:r>
    </w:p>
    <w:p>
      <w:pPr>
        <w:ind w:left="660" w:right="60" w:hanging="330"/>
        <w:spacing w:after="0" w:line="24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James River Group Holdings UK Limited (“James River UK”) may be (and JRG Re, prior to its disposition, may have been) subject to U.S. federal income taxation and our non-U.K. companies may be subject to U.K. taxation, which may have a material adverse effect on our operating results.</w:t>
      </w:r>
    </w:p>
    <w:p>
      <w:pPr>
        <w:ind w:left="660" w:right="240" w:hanging="330"/>
        <w:spacing w:after="0" w:line="253"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our shares may be subject to U.S. federal income taxation on our undistributed earnings and may recognize ordinary income upon disposition of shares; non-corporate persons who own our shares may not qualify for the reduced tax rate for qualified dividend income on the dividends paid by us in the future, and tax-exempt organizations who own our shares may recognize unrelated business taxable income.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Shares</w:t>
      </w:r>
    </w:p>
    <w:p>
      <w:pPr>
        <w:spacing w:after="0" w:line="31" w:lineRule="exact"/>
        <w:rPr>
          <w:sz w:val="20"/>
          <w:szCs w:val="20"/>
          <w:color w:val="auto"/>
        </w:rPr>
      </w:pPr>
    </w:p>
    <w:p>
      <w:pPr>
        <w:ind w:left="640" w:hanging="31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outcome of the disputes pertaining to the sale of JRG Re may have a material adverse effect on our financial position.</w:t>
      </w:r>
    </w:p>
    <w:p>
      <w:pPr>
        <w:spacing w:after="0" w:line="8" w:lineRule="exact"/>
        <w:rPr>
          <w:rFonts w:ascii="Times New Roman" w:cs="Times New Roman" w:eastAsia="Times New Roman" w:hAnsi="Times New Roman"/>
          <w:sz w:val="18"/>
          <w:szCs w:val="18"/>
          <w:color w:val="auto"/>
        </w:rPr>
      </w:pPr>
    </w:p>
    <w:p>
      <w:pPr>
        <w:ind w:left="660" w:right="420" w:hanging="330"/>
        <w:spacing w:after="0" w:line="249"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legal proceedings against us or our subsidiaries could have a material adverse effect on our business, financial condition and/or results of operations.</w:t>
      </w:r>
    </w:p>
    <w:p>
      <w:pPr>
        <w:ind w:left="660" w:hanging="330"/>
        <w:spacing w:after="0" w:line="249"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material weaknesses or the failure to otherwise maintain effective internal controls may result in material misstatements in our financial reporting and/or cause us to fail to meet our periodic reporting obligations.</w:t>
      </w:r>
    </w:p>
    <w:p>
      <w:pPr>
        <w:ind w:left="660" w:right="20" w:hanging="330"/>
        <w:spacing w:after="0" w:line="248" w:lineRule="auto"/>
        <w:tabs>
          <w:tab w:leader="none" w:pos="65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The holder of the Series A Convertible Preferred Shares (the “Series A Preferred Shares”) holds 9.9% of our aggregate voting power and may have significant influence over matters requiring shareholder approval, and additionally, any sales of a significant number of common shares by the holder may have an adverse affect on our share price.</w:t>
      </w:r>
    </w:p>
    <w:p>
      <w:pPr>
        <w:spacing w:after="0" w:line="2" w:lineRule="exact"/>
        <w:rPr>
          <w:rFonts w:ascii="Arial" w:cs="Arial" w:eastAsia="Arial" w:hAnsi="Arial"/>
          <w:sz w:val="18"/>
          <w:szCs w:val="18"/>
          <w:color w:val="auto"/>
        </w:rPr>
      </w:pPr>
    </w:p>
    <w:p>
      <w:pPr>
        <w:ind w:left="660" w:right="420" w:hanging="330"/>
        <w:spacing w:after="0" w:line="241" w:lineRule="auto"/>
        <w:tabs>
          <w:tab w:leader="none" w:pos="65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The conversion of the Series A Preferred Shares into common shares would dilute the ownership of common shareholders and may adversely affect the market price of our common shares.</w:t>
      </w:r>
    </w:p>
    <w:p>
      <w:pPr>
        <w:spacing w:after="0" w:line="1" w:lineRule="exact"/>
        <w:rPr>
          <w:rFonts w:ascii="Arial" w:cs="Arial" w:eastAsia="Arial" w:hAnsi="Arial"/>
          <w:sz w:val="18"/>
          <w:szCs w:val="18"/>
          <w:color w:val="auto"/>
        </w:rPr>
      </w:pPr>
    </w:p>
    <w:p>
      <w:pPr>
        <w:ind w:left="660" w:right="420" w:hanging="330"/>
        <w:spacing w:after="0"/>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dividends that we may pay to our common shareholders is subject to restriction pursuant to the terms of the Series A Preferred Shares, and we cannot assure you that we will declare or pay dividends on our common shares in the future.</w:t>
      </w:r>
    </w:p>
    <w:p>
      <w:pPr>
        <w:spacing w:after="0" w:line="1" w:lineRule="exact"/>
        <w:rPr>
          <w:rFonts w:ascii="Times New Roman" w:cs="Times New Roman" w:eastAsia="Times New Roman" w:hAnsi="Times New Roman"/>
          <w:sz w:val="18"/>
          <w:szCs w:val="18"/>
          <w:color w:val="auto"/>
        </w:rPr>
      </w:pPr>
    </w:p>
    <w:p>
      <w:pPr>
        <w:ind w:left="660" w:right="280" w:hanging="330"/>
        <w:spacing w:after="0" w:line="249"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by our U.S. subsidiaries to James River UK may not be eligible for benefits under the U.S.-U.K. income tax treaty, reducing the amount of funds that would be available for the payment of dividends.</w:t>
      </w:r>
    </w:p>
    <w:p>
      <w:pPr>
        <w:ind w:left="660" w:right="140" w:hanging="330"/>
        <w:spacing w:after="0" w:line="249"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bye-laws and provisions of Bermuda law may impede or discourage a change of control transaction, which could deprive our investors of the opportunity to receive a premium for their shares.</w:t>
      </w:r>
    </w:p>
    <w:p>
      <w:pPr>
        <w:ind w:left="640" w:hanging="31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Bermuda law differs from the laws in effect in the United States and may afford less protection to holders of our shares.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regulatory limitations on the ownership and transfer of our common shares.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1" w:lineRule="exact"/>
        <w:rPr>
          <w:sz w:val="20"/>
          <w:szCs w:val="20"/>
          <w:color w:val="auto"/>
        </w:rPr>
      </w:pPr>
    </w:p>
    <w:p>
      <w:pPr>
        <w:ind w:left="660" w:hanging="330"/>
        <w:spacing w:after="0" w:line="249"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systems and employees, and those of certain third-party vendors and service providers in conducting our operations, and certain failures, including internal or external fraud, operational errors, systems malfunctions, or cyber-security incidents, could materially adversely affect our operations.</w:t>
      </w: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have in the past varied from quarter to quarter and may not be indicative of our long-term prospects.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5"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Reserving for losses is an inherently uncertain process, and our actual incurred losses may be greater than our loss and loss adjustment expense reserves, which could have a material adverse effect on our financial condition and results of operations.</w:t>
      </w:r>
    </w:p>
    <w:p>
      <w:pPr>
        <w:spacing w:after="0" w:line="52" w:lineRule="exact"/>
        <w:rPr>
          <w:sz w:val="20"/>
          <w:szCs w:val="20"/>
          <w:color w:val="auto"/>
        </w:rPr>
      </w:pPr>
    </w:p>
    <w:p>
      <w:pPr>
        <w:ind w:right="120" w:firstLine="323"/>
        <w:spacing w:after="0" w:line="275" w:lineRule="auto"/>
        <w:rPr>
          <w:sz w:val="20"/>
          <w:szCs w:val="20"/>
          <w:color w:val="auto"/>
        </w:rPr>
      </w:pPr>
      <w:r>
        <w:rPr>
          <w:rFonts w:ascii="Times New Roman" w:cs="Times New Roman" w:eastAsia="Times New Roman" w:hAnsi="Times New Roman"/>
          <w:sz w:val="17"/>
          <w:szCs w:val="17"/>
          <w:color w:val="auto"/>
        </w:rPr>
        <w:t>Our financial condition and results of operations depend upon our ability to assess accurately the potential losses and loss adjustment expenses under the terms of the insurance policies we underwrite. Reserves do not represent an exact calculation of liability. Rather, reserves represent an estimate of what we expect the ultimate settlement and administration of claims will cost us, and our ultimate liability may be greater or less than current reserves. These estimates are based on our assessment of facts and circumstances then known, as well as estimates of future trends in claim severity, claim frequency, judicial theories of liability and other factors. These variables are affected by both internal and external events that could increase our exposure to</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7"/>
          <w:szCs w:val="17"/>
          <w:color w:val="auto"/>
        </w:rPr>
        <w:t>losses, including changes in actuarial projections, claims handling procedures, inflation, climate change, economic and judicial trends, and legislative changes. We believe that the insurance we write is subject to above-average variation in reserve estimates. The Excess and Surplus Lines market is subject</w:t>
      </w:r>
    </w:p>
    <w:p>
      <w:pPr>
        <w:spacing w:after="0" w:line="1"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8"/>
          <w:szCs w:val="18"/>
          <w:color w:val="auto"/>
        </w:rPr>
        <w:t>to high policyholder turnover and changes in underlying mix of exposures. This turnover and change in underlying mix of exposures can cause actuarial estimates based on prior experience to be less reliable than estimates for more stable, admitted books of business. We continually monitor reserves using new information on reported claims and a variety of statistical techniques.</w:t>
      </w:r>
    </w:p>
    <w:p>
      <w:pPr>
        <w:spacing w:after="0" w:line="69" w:lineRule="exact"/>
        <w:rPr>
          <w:sz w:val="20"/>
          <w:szCs w:val="20"/>
          <w:color w:val="auto"/>
        </w:rPr>
      </w:pPr>
    </w:p>
    <w:p>
      <w:pPr>
        <w:ind w:right="20" w:firstLine="323"/>
        <w:spacing w:after="0" w:line="253" w:lineRule="auto"/>
        <w:rPr>
          <w:sz w:val="20"/>
          <w:szCs w:val="20"/>
          <w:color w:val="auto"/>
        </w:rPr>
      </w:pPr>
      <w:r>
        <w:rPr>
          <w:rFonts w:ascii="Times New Roman" w:cs="Times New Roman" w:eastAsia="Times New Roman" w:hAnsi="Times New Roman"/>
          <w:sz w:val="18"/>
          <w:szCs w:val="18"/>
          <w:color w:val="auto"/>
        </w:rPr>
        <w:t>In the insurance industry, there is always the risk that reserves may prove inadequate, and actual results always differ from our reserve estimates. It is possible for insurance companies to underestimate the cost of claims. Our estimates could prove to be low, and this underestimation could have a material adverse effect on our financial strength. For example, in our Excess and Surplus Lines segment, we experienced adverse development on the reserves for losses and loss adjustment expenses of: $76.7 million for the calendar year ended December 31, 2024, including a $52.2 million reserve charge upon execution of the E&amp;S ADC (consideration paid in excess of initial reserves), and $32.6 million for the calendar year ended December 31, 2023, with adverse development in accident years 2020 and prior exceeding favorable development on accident years 2022 and 2021. We also previously experienced significant adverse development in our commercial auto business in our Excess and Surplus Lines segment, including $200.1 million for the calendar year ended December 31, 2021, and in our former casualty reinsurance segment, which we disposed of on April 16, 2024.</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cannot assure you that we will not have further adverse development in our business.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uncertainties we encounter in establishing our reserves for losses and related expenses in connection with our insurance businesses include:</w:t>
      </w:r>
    </w:p>
    <w:p>
      <w:pPr>
        <w:spacing w:after="0" w:line="115" w:lineRule="exact"/>
        <w:rPr>
          <w:sz w:val="20"/>
          <w:szCs w:val="20"/>
          <w:color w:val="auto"/>
        </w:rPr>
      </w:pPr>
    </w:p>
    <w:p>
      <w:pPr>
        <w:ind w:left="660" w:right="240" w:hanging="330"/>
        <w:spacing w:after="0" w:line="259" w:lineRule="auto"/>
        <w:tabs>
          <w:tab w:leader="none" w:pos="5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we write “occurrence” policies, we are obligated to pay covered claims, up to the contractually agreed amount, for any covered loss that occurs while the policy is in force. Losses can emerge many years after a policy has lapsed. Accordingly, our first notice of a claim or group of claims may arise many years after a policy has lapsed. Approximately 96% of our Excess and Surplus Lines net casualty loss reserves are associated with “occurrence form” policies at December 31, 2024.</w:t>
      </w:r>
    </w:p>
    <w:p>
      <w:pPr>
        <w:spacing w:after="0" w:line="73" w:lineRule="exact"/>
        <w:rPr>
          <w:rFonts w:ascii="Times New Roman" w:cs="Times New Roman" w:eastAsia="Times New Roman" w:hAnsi="Times New Roman"/>
          <w:sz w:val="18"/>
          <w:szCs w:val="18"/>
          <w:color w:val="auto"/>
        </w:rPr>
      </w:pPr>
    </w:p>
    <w:p>
      <w:pPr>
        <w:ind w:left="660" w:right="40" w:hanging="330"/>
        <w:spacing w:after="0" w:line="264" w:lineRule="auto"/>
        <w:tabs>
          <w:tab w:leader="none" w:pos="57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when a claim is received (irrespective of whether the policy is a “claims made” or “occurrence” basis form), it may take considerable time to fully appreciate the extent of the covered loss suffered by the insured and, consequently, estimates of loss associated with specific claims can increase over time.</w:t>
      </w:r>
    </w:p>
    <w:p>
      <w:pPr>
        <w:spacing w:after="0" w:line="67" w:lineRule="exact"/>
        <w:rPr>
          <w:rFonts w:ascii="Times New Roman" w:cs="Times New Roman" w:eastAsia="Times New Roman" w:hAnsi="Times New Roman"/>
          <w:sz w:val="18"/>
          <w:szCs w:val="18"/>
          <w:color w:val="auto"/>
        </w:rPr>
      </w:pPr>
    </w:p>
    <w:p>
      <w:pPr>
        <w:ind w:left="660" w:right="60" w:hanging="330"/>
        <w:spacing w:after="0" w:line="282" w:lineRule="auto"/>
        <w:tabs>
          <w:tab w:leader="none" w:pos="57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theories of liability are enforced retroactively from time to time by courts. See also “</w:t>
      </w:r>
      <w:r>
        <w:rPr>
          <w:rFonts w:ascii="Times New Roman" w:cs="Times New Roman" w:eastAsia="Times New Roman" w:hAnsi="Times New Roman"/>
          <w:sz w:val="18"/>
          <w:szCs w:val="18"/>
          <w:i w:val="1"/>
          <w:iCs w:val="1"/>
          <w:color w:val="auto"/>
        </w:rPr>
        <w:t>The effect of emerging claim and coverage issues on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is uncertain</w:t>
      </w:r>
      <w:r>
        <w:rPr>
          <w:rFonts w:ascii="Times New Roman" w:cs="Times New Roman" w:eastAsia="Times New Roman" w:hAnsi="Times New Roman"/>
          <w:sz w:val="18"/>
          <w:szCs w:val="18"/>
          <w:color w:val="auto"/>
        </w:rPr>
        <w:t>” risk factor herein.</w:t>
      </w:r>
    </w:p>
    <w:p>
      <w:pPr>
        <w:spacing w:after="0" w:line="53" w:lineRule="exact"/>
        <w:rPr>
          <w:rFonts w:ascii="Times New Roman" w:cs="Times New Roman" w:eastAsia="Times New Roman" w:hAnsi="Times New Roman"/>
          <w:sz w:val="18"/>
          <w:szCs w:val="18"/>
          <w:color w:val="auto"/>
        </w:rPr>
      </w:pPr>
    </w:p>
    <w:p>
      <w:pPr>
        <w:ind w:left="660" w:right="60" w:hanging="330"/>
        <w:spacing w:after="0" w:line="280" w:lineRule="auto"/>
        <w:tabs>
          <w:tab w:leader="none" w:pos="5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financial markets, economic events and other external factors may result in an increase in the number of claims and the severity of the claims reported. In addition, elevated inflationary conditions could, among other things, cause loss costs to increase.</w:t>
      </w:r>
    </w:p>
    <w:p>
      <w:pPr>
        <w:spacing w:after="0" w:line="54" w:lineRule="exact"/>
        <w:rPr>
          <w:rFonts w:ascii="Times New Roman" w:cs="Times New Roman" w:eastAsia="Times New Roman" w:hAnsi="Times New Roman"/>
          <w:sz w:val="18"/>
          <w:szCs w:val="18"/>
          <w:color w:val="auto"/>
        </w:rPr>
      </w:pPr>
    </w:p>
    <w:p>
      <w:pPr>
        <w:ind w:left="660" w:hanging="330"/>
        <w:spacing w:after="0" w:line="264" w:lineRule="auto"/>
        <w:tabs>
          <w:tab w:leader="none" w:pos="57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claims became more frequent, even if we had no liability for those claims, the cost of evaluating these potential claims could escalate beyond the amount of the reserves we have established. As we enter new lines of business, or as a result of new theories of claims, we may encounter an increase in claims frequency and greater claims handling costs than we had anticipated.</w:t>
      </w:r>
    </w:p>
    <w:p>
      <w:pPr>
        <w:spacing w:after="0" w:line="69" w:lineRule="exact"/>
        <w:rPr>
          <w:rFonts w:ascii="Times New Roman" w:cs="Times New Roman" w:eastAsia="Times New Roman" w:hAnsi="Times New Roman"/>
          <w:sz w:val="18"/>
          <w:szCs w:val="18"/>
          <w:color w:val="auto"/>
        </w:rPr>
      </w:pPr>
    </w:p>
    <w:p>
      <w:pPr>
        <w:ind w:left="660" w:hanging="330"/>
        <w:spacing w:after="0" w:line="264" w:lineRule="auto"/>
        <w:tabs>
          <w:tab w:leader="none" w:pos="5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occasionally enter new lines of insurance, and as a consequence, we sometimes have to make estimates of future losses for risk classes with which we do not have a great deal of loss experience. This lack of loss experience may contribute to making errors of judgment when establishing reserves.</w:t>
      </w:r>
    </w:p>
    <w:p>
      <w:pPr>
        <w:spacing w:after="0" w:line="69" w:lineRule="exact"/>
        <w:rPr>
          <w:sz w:val="20"/>
          <w:szCs w:val="20"/>
          <w:color w:val="auto"/>
        </w:rPr>
      </w:pPr>
    </w:p>
    <w:p>
      <w:pPr>
        <w:ind w:right="20" w:firstLine="323"/>
        <w:spacing w:after="0" w:line="259" w:lineRule="auto"/>
        <w:rPr>
          <w:sz w:val="20"/>
          <w:szCs w:val="20"/>
          <w:color w:val="auto"/>
        </w:rPr>
      </w:pPr>
      <w:r>
        <w:rPr>
          <w:rFonts w:ascii="Times New Roman" w:cs="Times New Roman" w:eastAsia="Times New Roman" w:hAnsi="Times New Roman"/>
          <w:sz w:val="18"/>
          <w:szCs w:val="18"/>
          <w:color w:val="auto"/>
        </w:rPr>
        <w:t>If any of our insurance reserves should prove to be inadequate for the reasons discussed above, or for any other reason, we will be required to increase reserves, resulting in a reduction in our net income and shareholders’ equity in the period in which the deficiency is identified. Future loss experience substantially in excess of established reserves could also have a material adverse effect on future earnings and liquidity and financial rating, which could affect our ability to attract business, our cost of capital and our ability to retain or hire qualified personnel.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risk management is based on estimates and judgments that are subject to significant uncertainties.</w:t>
      </w:r>
    </w:p>
    <w:p>
      <w:pPr>
        <w:spacing w:after="0" w:line="119" w:lineRule="exact"/>
        <w:rPr>
          <w:sz w:val="20"/>
          <w:szCs w:val="20"/>
          <w:color w:val="auto"/>
        </w:rPr>
      </w:pPr>
    </w:p>
    <w:p>
      <w:pPr>
        <w:ind w:right="120" w:firstLine="323"/>
        <w:spacing w:after="0" w:line="259" w:lineRule="auto"/>
        <w:rPr>
          <w:sz w:val="20"/>
          <w:szCs w:val="20"/>
          <w:color w:val="auto"/>
        </w:rPr>
      </w:pPr>
      <w:r>
        <w:rPr>
          <w:rFonts w:ascii="Times New Roman" w:cs="Times New Roman" w:eastAsia="Times New Roman" w:hAnsi="Times New Roman"/>
          <w:sz w:val="18"/>
          <w:szCs w:val="18"/>
          <w:color w:val="auto"/>
        </w:rPr>
        <w:t>Our approach to risk management relies on subjective variables that entail significant uncertainties. For example, we rely heavily on estimates of probable maximum losses for certain events that are generated by computer-run models. In addition, we rely on historical data and scenarios in managing credit and interest rate risks in our investment portfolio. These estimates, models, data and scenarios may not produce accurate predictions and consequently, we could incur losses both in the risks we underwrite and to the value of our investment portfolio.</w:t>
      </w:r>
    </w:p>
    <w:p>
      <w:pPr>
        <w:spacing w:after="0" w:line="74" w:lineRule="exact"/>
        <w:rPr>
          <w:sz w:val="20"/>
          <w:szCs w:val="20"/>
          <w:color w:val="auto"/>
        </w:rPr>
      </w:pPr>
    </w:p>
    <w:p>
      <w:pPr>
        <w:ind w:right="100" w:firstLine="323"/>
        <w:spacing w:after="0" w:line="280" w:lineRule="auto"/>
        <w:rPr>
          <w:sz w:val="20"/>
          <w:szCs w:val="20"/>
          <w:color w:val="auto"/>
        </w:rPr>
      </w:pPr>
      <w:r>
        <w:rPr>
          <w:rFonts w:ascii="Times New Roman" w:cs="Times New Roman" w:eastAsia="Times New Roman" w:hAnsi="Times New Roman"/>
          <w:sz w:val="18"/>
          <w:szCs w:val="18"/>
          <w:color w:val="auto"/>
        </w:rPr>
        <w:t>Small changes in assumptions, which depend heavily on our judgment and foresight, can have a significant impact on the modeled outputs. Although we believe that these probabilistic measures provide a meaningful indicator of the relative risk of</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color w:val="auto"/>
        </w:rPr>
        <w:t>certain events and changes to our business over time, these measures do not predict our actual exposure to, nor guarantee our successful management of, risks that could have a material adverse effect on our financial condition and results of operations.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decline in our financial strength rating may result in a reduction of new or renewal business.</w:t>
      </w:r>
    </w:p>
    <w:p>
      <w:pPr>
        <w:spacing w:after="0" w:line="119" w:lineRule="exact"/>
        <w:rPr>
          <w:sz w:val="20"/>
          <w:szCs w:val="20"/>
          <w:color w:val="auto"/>
        </w:rPr>
      </w:pPr>
    </w:p>
    <w:p>
      <w:pPr>
        <w:ind w:right="60" w:firstLine="323"/>
        <w:spacing w:after="0" w:line="253" w:lineRule="auto"/>
        <w:rPr>
          <w:sz w:val="20"/>
          <w:szCs w:val="20"/>
          <w:color w:val="auto"/>
        </w:rPr>
      </w:pPr>
      <w:r>
        <w:rPr>
          <w:rFonts w:ascii="Times New Roman" w:cs="Times New Roman" w:eastAsia="Times New Roman" w:hAnsi="Times New Roman"/>
          <w:sz w:val="18"/>
          <w:szCs w:val="18"/>
          <w:color w:val="auto"/>
        </w:rPr>
        <w:t>Companies, insurers and reinsurance brokers use ratings from independent ratings agencies as an important means of assessing the financial strength and quality of insurers and reinsurers. A.M. Best has assigned a financial strength rating of “A-” (Excellent), which is the fourth highest of 13 ratings that A.M. Best issues, to each of James River Insurance, James River Casualty, Falls Lake Fire and Casualty, Falls Lake National and Stonewood Insurance. On December 20, 2023, A.M. Best announced that it revised the outlook on our financial strength rating from stable to negative on such entities. Also, on December 20, 2023, A.M. Best announced that it downgraded the financial strength rating of JRG Re, our former reinsurance subsidiary, from “A-” (Excellent) with a stable outlook to “B++” (good) with a negative outlook. A.M. Best announced that the ratings actions followed our announcements in November 2023 that we identified a material weakness in our internal control over financial reporting, that we entered into an agreement to sell JRG Re (which was completed on April 16, 2024), and that we were exploring strategic alternatives for the Company (which have since been completed as</w:t>
      </w:r>
    </w:p>
    <w:p>
      <w:pPr>
        <w:spacing w:after="0" w:line="15"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announced on November 11, 2024). On January 30, 2025, A.M. Best affirmed our “A-” (Excellent) financial strength rating. The negative outlook remained with a focus on 2025 plan execution.</w:t>
      </w:r>
    </w:p>
    <w:p>
      <w:pPr>
        <w:spacing w:after="0" w:line="55" w:lineRule="exact"/>
        <w:rPr>
          <w:sz w:val="20"/>
          <w:szCs w:val="20"/>
          <w:color w:val="auto"/>
        </w:rPr>
      </w:pPr>
    </w:p>
    <w:p>
      <w:pPr>
        <w:ind w:right="20" w:firstLine="323"/>
        <w:spacing w:after="0" w:line="259" w:lineRule="auto"/>
        <w:rPr>
          <w:sz w:val="20"/>
          <w:szCs w:val="20"/>
          <w:color w:val="auto"/>
        </w:rPr>
      </w:pPr>
      <w:r>
        <w:rPr>
          <w:rFonts w:ascii="Times New Roman" w:cs="Times New Roman" w:eastAsia="Times New Roman" w:hAnsi="Times New Roman"/>
          <w:sz w:val="18"/>
          <w:szCs w:val="18"/>
          <w:color w:val="auto"/>
        </w:rPr>
        <w:t>A.M. Best assigns ratings that are intended to provide an independent opinion of an insurance company’s ability to meet its obligations to policyholders and such ratings are not an evaluation directed to investors. A.M. Best periodically reviews our rating and may revise it downward or revoke it at its sole discretion based primarily on its analysis of our balance sheet strength (including capital adequacy and loss and loss adjustment expense reserve adequacy), operating performance and business profile. Factors that could affect such an analysis include but are not limited to:</w:t>
      </w:r>
    </w:p>
    <w:p>
      <w:pPr>
        <w:spacing w:after="0" w:line="74" w:lineRule="exact"/>
        <w:rPr>
          <w:sz w:val="20"/>
          <w:szCs w:val="20"/>
          <w:color w:val="auto"/>
        </w:rPr>
      </w:pPr>
    </w:p>
    <w:p>
      <w:pPr>
        <w:ind w:left="580" w:hanging="250"/>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change our business practices from our organizational business plan in a manner that no longer supports our A.M. Best’s rating;</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unfavorable financial, regulatory or market trends affect us, including excess market capacity;</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losses exceed our loss reserves;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unresolved issues with government regulators;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our senior management or other key personnel;</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investment portfolio incurs significant losses;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 Best alters its capital adequacy assessment methodology in a manner that would adversely affect our rating; or</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 Best reduces its assessment of our enterprise risk management.</w:t>
      </w:r>
    </w:p>
    <w:p>
      <w:pPr>
        <w:spacing w:after="0" w:line="115" w:lineRule="exact"/>
        <w:rPr>
          <w:sz w:val="20"/>
          <w:szCs w:val="20"/>
          <w:color w:val="auto"/>
        </w:rPr>
      </w:pPr>
    </w:p>
    <w:p>
      <w:pPr>
        <w:ind w:right="60" w:firstLine="323"/>
        <w:spacing w:after="0" w:line="256" w:lineRule="auto"/>
        <w:rPr>
          <w:sz w:val="20"/>
          <w:szCs w:val="20"/>
          <w:color w:val="auto"/>
        </w:rPr>
      </w:pPr>
      <w:r>
        <w:rPr>
          <w:rFonts w:ascii="Times New Roman" w:cs="Times New Roman" w:eastAsia="Times New Roman" w:hAnsi="Times New Roman"/>
          <w:sz w:val="18"/>
          <w:szCs w:val="18"/>
          <w:color w:val="auto"/>
        </w:rPr>
        <w:t xml:space="preserve">These and other factors could result in a downgrade of our rating. A downgrade of our rating could cause our current and future brokers and agents, retail brokers and insureds to choose other, more highly-rated competitors. A downgrade of this rating could also increase the cost or reduce the availability of reinsurance to us, trigger termination of reinsurance contracts, trigger termination rights in certain of our agreements with MGAs in our Specialty Admitted segment, or result in a default under our credit facility. See the Risk Factor </w:t>
      </w:r>
      <w:r>
        <w:rPr>
          <w:rFonts w:ascii="Times New Roman" w:cs="Times New Roman" w:eastAsia="Times New Roman" w:hAnsi="Times New Roman"/>
          <w:sz w:val="18"/>
          <w:szCs w:val="18"/>
          <w:i w:val="1"/>
          <w:iCs w:val="1"/>
          <w:color w:val="auto"/>
        </w:rPr>
        <w:t>“Our credit agreement contains financial and other covenants,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breach of any of which could result in acceleration of payment of amounts due under our credit facility.”</w:t>
      </w:r>
    </w:p>
    <w:p>
      <w:pPr>
        <w:spacing w:after="0" w:line="79" w:lineRule="exact"/>
        <w:rPr>
          <w:sz w:val="20"/>
          <w:szCs w:val="20"/>
          <w:color w:val="auto"/>
        </w:rPr>
      </w:pPr>
    </w:p>
    <w:p>
      <w:pPr>
        <w:ind w:right="60" w:firstLine="323"/>
        <w:spacing w:after="0" w:line="254" w:lineRule="auto"/>
        <w:rPr>
          <w:sz w:val="20"/>
          <w:szCs w:val="20"/>
          <w:color w:val="auto"/>
        </w:rPr>
      </w:pPr>
      <w:r>
        <w:rPr>
          <w:rFonts w:ascii="Times New Roman" w:cs="Times New Roman" w:eastAsia="Times New Roman" w:hAnsi="Times New Roman"/>
          <w:sz w:val="18"/>
          <w:szCs w:val="18"/>
          <w:color w:val="auto"/>
        </w:rPr>
        <w:t>In addition, in view of the earnings and capital pressures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and may increase the capital and other requirements employed in the rating organizations’ models for maintenance of certain ratings levels. It is possible that such reviews of us may result in adverse ratings consequences, which could have a material adverse effect on our financial condition and results of operations. A downgrade below “A-” or withdrawal of any rating could severely limit or prevent us from writing new and renewal insurance contracts or entering into new programs in our Specialty Admitted segment. See also “Item 7. Management’s Discussion and Analysis of Financial Condition and Results of Operations—Ratings.”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retain key management and employees or recruit other qualified personnel, we may be materially adversely affected.</w:t>
      </w:r>
    </w:p>
    <w:p>
      <w:pPr>
        <w:spacing w:after="0" w:line="119" w:lineRule="exact"/>
        <w:rPr>
          <w:sz w:val="20"/>
          <w:szCs w:val="20"/>
          <w:color w:val="auto"/>
        </w:rPr>
      </w:pPr>
    </w:p>
    <w:p>
      <w:pPr>
        <w:ind w:firstLine="323"/>
        <w:spacing w:after="0" w:line="279" w:lineRule="auto"/>
        <w:rPr>
          <w:sz w:val="20"/>
          <w:szCs w:val="20"/>
          <w:color w:val="auto"/>
        </w:rPr>
      </w:pPr>
      <w:r>
        <w:rPr>
          <w:rFonts w:ascii="Times New Roman" w:cs="Times New Roman" w:eastAsia="Times New Roman" w:hAnsi="Times New Roman"/>
          <w:sz w:val="17"/>
          <w:szCs w:val="17"/>
          <w:color w:val="auto"/>
        </w:rPr>
        <w:t>We believe that our future success depends, in large part, on our ability to retain our experienced management team and key employees and on our ability to recruit additional qualified employees to support our growth. For instance, our specialty insurance operations require the services of a number of highly experienced employees, including underwriters, to source quality business and analyze and manage our risk exposure. There can be no assurance that we can attract and retain the necessary employees to conduct our business activities on a timely basis or at all. Our competitors may offer more favorable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compensation and/or permanent remote work arrangements to our key management or employees to incentivize them to leave our Company, or alternatively, to make it more difficult for us to recruit and hire new employees. Further, remote work by employees has allowed competitors that are located in different states or parts of the country to solicit our employees without requiring their relocation. Although we have employment agreements with most members of our senior management team, which include certain post-employment restrictions on engaging in businesses competitive with the Company, we do not have employment agreements with our senior underwriters or claims personnel. Our inability to attract and retain qualified personnel and the loss of services of key personnel could have a material adverse effect on our financial condition and results of operations.</w:t>
      </w:r>
    </w:p>
    <w:p>
      <w:pPr>
        <w:spacing w:after="0" w:line="74" w:lineRule="exact"/>
        <w:rPr>
          <w:sz w:val="20"/>
          <w:szCs w:val="20"/>
          <w:color w:val="auto"/>
        </w:rPr>
      </w:pPr>
    </w:p>
    <w:p>
      <w:pPr>
        <w:jc w:val="both"/>
        <w:ind w:right="40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Adverse economic factors, including recession, inflation, periods of high unemployment or lower economic activity could result in the sale of fewer policies than expected or an increase in frequency or severity of claims and premium defaults or both, which, in turn, could affect our growth and profitability.</w:t>
      </w:r>
    </w:p>
    <w:p>
      <w:pPr>
        <w:spacing w:after="0" w:line="66" w:lineRule="exact"/>
        <w:rPr>
          <w:sz w:val="20"/>
          <w:szCs w:val="20"/>
          <w:color w:val="auto"/>
        </w:rPr>
      </w:pPr>
    </w:p>
    <w:p>
      <w:pPr>
        <w:ind w:firstLine="323"/>
        <w:spacing w:after="0" w:line="270" w:lineRule="auto"/>
        <w:rPr>
          <w:sz w:val="20"/>
          <w:szCs w:val="20"/>
          <w:color w:val="auto"/>
        </w:rPr>
      </w:pPr>
      <w:r>
        <w:rPr>
          <w:rFonts w:ascii="Times New Roman" w:cs="Times New Roman" w:eastAsia="Times New Roman" w:hAnsi="Times New Roman"/>
          <w:sz w:val="17"/>
          <w:szCs w:val="17"/>
          <w:color w:val="auto"/>
        </w:rPr>
        <w:t>Factors such as business revenue, economic conditions, the volatility and strength of the capital markets, inflation and pandemics can all affect the business and economic environment. These same factors affect our ability to generate revenue and profits. In an economic downturn that is characterized by higher unemployment, declining spending and reduced corporate revenues, the demand for insurance products is adversely affected, which directly affects our premium levels and profitability. Negative economic factors may also affect our ability to receive the appropriate rate for the risk we insure with our policyholders and may adversely affect the number of policies we can write, including with respect to our opportunities to underwrite profitable business. In an economic downturn, our customers may have less need for insurance coverage, cancel existing insurance policies, modify their coverage, self-insure their risks, or not renew with us. Existing policyholders may exaggerate or even falsify claims to obtain higher claims payments, or not pay premiums on our policies when due. These outcomes would reduce our underwriting profit to the extent these factors are not reflected in the rates we charge.</w:t>
      </w:r>
    </w:p>
    <w:p>
      <w:pPr>
        <w:spacing w:after="0" w:line="68" w:lineRule="exact"/>
        <w:rPr>
          <w:sz w:val="20"/>
          <w:szCs w:val="20"/>
          <w:color w:val="auto"/>
        </w:rPr>
      </w:pPr>
    </w:p>
    <w:p>
      <w:pPr>
        <w:jc w:val="both"/>
        <w:ind w:right="220" w:firstLine="323"/>
        <w:spacing w:after="0" w:line="259" w:lineRule="auto"/>
        <w:rPr>
          <w:sz w:val="20"/>
          <w:szCs w:val="20"/>
          <w:color w:val="auto"/>
        </w:rPr>
      </w:pPr>
      <w:r>
        <w:rPr>
          <w:rFonts w:ascii="Times New Roman" w:cs="Times New Roman" w:eastAsia="Times New Roman" w:hAnsi="Times New Roman"/>
          <w:sz w:val="18"/>
          <w:szCs w:val="18"/>
          <w:color w:val="auto"/>
        </w:rPr>
        <w:t>We underwrite a significant portion of our insurance in (i) the Excess and Surplus Lines segment in Florida, California, Texas and New York, and (ii) the fronting and program business of the Specialty Admitted Insurance segment in Texas, California, North Carolina, Florida, and Illinois. Any economic downturn or reduced business activities in any such state, or other states where we conduct business, could have a material adverse effect on our financial condition and results of operations.</w:t>
      </w:r>
    </w:p>
    <w:p>
      <w:pPr>
        <w:spacing w:after="0" w:line="74" w:lineRule="exact"/>
        <w:rPr>
          <w:sz w:val="20"/>
          <w:szCs w:val="20"/>
          <w:color w:val="auto"/>
        </w:rPr>
      </w:pPr>
    </w:p>
    <w:p>
      <w:pPr>
        <w:jc w:val="both"/>
        <w:ind w:right="260" w:firstLine="323"/>
        <w:spacing w:after="0" w:line="264" w:lineRule="auto"/>
        <w:rPr>
          <w:sz w:val="20"/>
          <w:szCs w:val="20"/>
          <w:color w:val="auto"/>
        </w:rPr>
      </w:pPr>
      <w:r>
        <w:rPr>
          <w:rFonts w:ascii="Times New Roman" w:cs="Times New Roman" w:eastAsia="Times New Roman" w:hAnsi="Times New Roman"/>
          <w:sz w:val="18"/>
          <w:szCs w:val="18"/>
          <w:color w:val="auto"/>
        </w:rPr>
        <w:t>Higher than expected inflation could adversely affect the adequacy of our reserves by increasing average loss costs over time, negatively impact the values of our investments and our investment returns, and may increase our compensation expenses. Recent actions by the federal government, including without limitation with respect to international trade regulation, including tariffs, could lead to higher inflation.</w:t>
      </w:r>
    </w:p>
    <w:p>
      <w:pPr>
        <w:spacing w:after="0" w:line="65"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distribute products through a select group of brokers and agents, several of which account for a significant portion of our business, and such relationships may not continue, or if they do continue, the relationship may not be on favorable terms to us. In addition, reliance on brokers and agents subjects us to their credit risk.</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distribute our products through a select group of brokers and agents. In 2024:</w:t>
      </w:r>
    </w:p>
    <w:p>
      <w:pPr>
        <w:spacing w:after="0" w:line="115" w:lineRule="exact"/>
        <w:rPr>
          <w:sz w:val="20"/>
          <w:szCs w:val="20"/>
          <w:color w:val="auto"/>
        </w:rPr>
      </w:pPr>
    </w:p>
    <w:p>
      <w:pPr>
        <w:ind w:left="660" w:right="720" w:hanging="330"/>
        <w:spacing w:after="0" w:line="280" w:lineRule="auto"/>
        <w:tabs>
          <w:tab w:leader="none" w:pos="57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and Surplus Lines segment conducted business with three brokers that produced an aggregate of $724.7 million in gross written premiums, or 71.3% of that segment’s gross written premiums for the year; and</w:t>
      </w:r>
    </w:p>
    <w:p>
      <w:pPr>
        <w:spacing w:after="0" w:line="54" w:lineRule="exact"/>
        <w:rPr>
          <w:rFonts w:ascii="Times New Roman" w:cs="Times New Roman" w:eastAsia="Times New Roman" w:hAnsi="Times New Roman"/>
          <w:sz w:val="18"/>
          <w:szCs w:val="18"/>
          <w:color w:val="auto"/>
        </w:rPr>
      </w:pPr>
    </w:p>
    <w:p>
      <w:pPr>
        <w:ind w:left="660" w:right="780" w:hanging="330"/>
        <w:spacing w:after="0" w:line="280" w:lineRule="auto"/>
        <w:tabs>
          <w:tab w:leader="none" w:pos="57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Specialty Admitted Insurance segment conducted business with two agencies that produced $239.5 million in gross written premiums, representing 57.7% of that segment’s gross written premiums for the year.</w:t>
      </w:r>
    </w:p>
    <w:p>
      <w:pPr>
        <w:spacing w:after="0" w:line="55" w:lineRule="exact"/>
        <w:rPr>
          <w:sz w:val="20"/>
          <w:szCs w:val="20"/>
          <w:color w:val="auto"/>
        </w:rPr>
      </w:pPr>
    </w:p>
    <w:p>
      <w:pPr>
        <w:ind w:right="240" w:firstLine="323"/>
        <w:spacing w:after="0" w:line="264" w:lineRule="auto"/>
        <w:rPr>
          <w:sz w:val="20"/>
          <w:szCs w:val="20"/>
          <w:color w:val="auto"/>
        </w:rPr>
      </w:pPr>
      <w:r>
        <w:rPr>
          <w:rFonts w:ascii="Times New Roman" w:cs="Times New Roman" w:eastAsia="Times New Roman" w:hAnsi="Times New Roman"/>
          <w:sz w:val="18"/>
          <w:szCs w:val="18"/>
          <w:color w:val="auto"/>
        </w:rPr>
        <w:t>The relationship with any of these brokers or agents may not continue. Even if the relationships do continue, they may not be on terms that are profitable for us. The termination of a relationship with one or more significant brokers or agents could result in lower direct written premiums and could have a material adverse effect on our results of operations or business prospects.</w:t>
      </w:r>
    </w:p>
    <w:p>
      <w:pPr>
        <w:spacing w:after="0" w:line="69" w:lineRule="exact"/>
        <w:rPr>
          <w:sz w:val="20"/>
          <w:szCs w:val="20"/>
          <w:color w:val="auto"/>
        </w:rPr>
      </w:pPr>
    </w:p>
    <w:p>
      <w:pPr>
        <w:ind w:right="300" w:firstLine="323"/>
        <w:spacing w:after="0" w:line="310" w:lineRule="auto"/>
        <w:rPr>
          <w:sz w:val="20"/>
          <w:szCs w:val="20"/>
          <w:color w:val="auto"/>
        </w:rPr>
      </w:pPr>
      <w:r>
        <w:rPr>
          <w:rFonts w:ascii="Times New Roman" w:cs="Times New Roman" w:eastAsia="Times New Roman" w:hAnsi="Times New Roman"/>
          <w:sz w:val="17"/>
          <w:szCs w:val="17"/>
          <w:color w:val="auto"/>
        </w:rPr>
        <w:t>There is a continuing trend toward consolidation among retail and wholesale brokers and agents. As brokers and agents consolidate and competition among them declines, they may seek and receive higher commissions. Increases in commission expense could reduce our underwriting profit.</w:t>
      </w:r>
    </w:p>
    <w:p>
      <w:pPr>
        <w:spacing w:after="0" w:line="32" w:lineRule="exact"/>
        <w:rPr>
          <w:sz w:val="20"/>
          <w:szCs w:val="20"/>
          <w:color w:val="auto"/>
        </w:rPr>
      </w:pPr>
    </w:p>
    <w:p>
      <w:pPr>
        <w:ind w:right="100" w:firstLine="323"/>
        <w:spacing w:after="0" w:line="255" w:lineRule="auto"/>
        <w:rPr>
          <w:sz w:val="20"/>
          <w:szCs w:val="20"/>
          <w:color w:val="auto"/>
        </w:rPr>
      </w:pPr>
      <w:r>
        <w:rPr>
          <w:rFonts w:ascii="Times New Roman" w:cs="Times New Roman" w:eastAsia="Times New Roman" w:hAnsi="Times New Roman"/>
          <w:sz w:val="18"/>
          <w:szCs w:val="18"/>
          <w:color w:val="auto"/>
        </w:rPr>
        <w:t>Certain premiums from policyholders, where the business is produced by brokers or agents, are collected directly by the brokers or agents and forwarded to our insurance subsidiaries. In most jurisdictions, when the insured pays its policy premium to brokers or agents for payment on behalf of our insurance subsidiaries, the premiums will be considered to have been paid under applicable insurance laws and regulations. Accordingly, the insured would no longer be liable to us for those amounts, whether or not we have actually received the premiums from that broker or agent. Consequently, we assume a degree of credit risk associated with brokers and agents. Where necessary, we review the financial condition of potential new brokers and agents before we agree to transact business with them. Although failures by brokers and agents to remit premiums have not been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material to date, there may be instances where brokers and agents collect premiums but do not remit them to us and we may be required under applicable law to provide the coverage set forth in the policy despite the absence of premiums.</w:t>
      </w:r>
    </w:p>
    <w:p>
      <w:pPr>
        <w:spacing w:after="0" w:line="55" w:lineRule="exact"/>
        <w:rPr>
          <w:sz w:val="20"/>
          <w:szCs w:val="20"/>
          <w:color w:val="auto"/>
        </w:rPr>
      </w:pPr>
    </w:p>
    <w:p>
      <w:pPr>
        <w:ind w:right="40" w:firstLine="323"/>
        <w:spacing w:after="0" w:line="264" w:lineRule="auto"/>
        <w:rPr>
          <w:sz w:val="20"/>
          <w:szCs w:val="20"/>
          <w:color w:val="auto"/>
        </w:rPr>
      </w:pPr>
      <w:r>
        <w:rPr>
          <w:rFonts w:ascii="Times New Roman" w:cs="Times New Roman" w:eastAsia="Times New Roman" w:hAnsi="Times New Roman"/>
          <w:sz w:val="18"/>
          <w:szCs w:val="18"/>
          <w:color w:val="auto"/>
        </w:rPr>
        <w:t>Because the possibility of these events depends in large part upon the financial condition and internal operations of our brokers and agents (which in most cases is not public information), we are not able to quantify the exposure presented by this risk. If we are unable to collect premiums from brokers and agents in the future, underwriting profits may decline and our financial condition and results of operations could be materially adversely affected.</w:t>
      </w:r>
    </w:p>
    <w:p>
      <w:pPr>
        <w:spacing w:after="0" w:line="65" w:lineRule="exact"/>
        <w:rPr>
          <w:sz w:val="20"/>
          <w:szCs w:val="20"/>
          <w:color w:val="auto"/>
        </w:rPr>
      </w:pPr>
    </w:p>
    <w:p>
      <w:pPr>
        <w:ind w:right="40"/>
        <w:spacing w:after="0" w:line="315" w:lineRule="auto"/>
        <w:rPr>
          <w:sz w:val="20"/>
          <w:szCs w:val="20"/>
          <w:color w:val="auto"/>
        </w:rPr>
      </w:pPr>
      <w:r>
        <w:rPr>
          <w:rFonts w:ascii="Times New Roman" w:cs="Times New Roman" w:eastAsia="Times New Roman" w:hAnsi="Times New Roman"/>
          <w:sz w:val="17"/>
          <w:szCs w:val="17"/>
          <w:b w:val="1"/>
          <w:bCs w:val="1"/>
          <w:i w:val="1"/>
          <w:iCs w:val="1"/>
          <w:color w:val="auto"/>
        </w:rPr>
        <w:t>We rely on a select group of customers for a significant portion of our business, and the continued loss or termination of our relationship with any such customers, or a material reduction in their business, could materially adversely affect our rate of growth, results of operations and financial condition.</w:t>
      </w:r>
    </w:p>
    <w:p>
      <w:pPr>
        <w:spacing w:after="0" w:line="28" w:lineRule="exact"/>
        <w:rPr>
          <w:sz w:val="20"/>
          <w:szCs w:val="20"/>
          <w:color w:val="auto"/>
        </w:rPr>
      </w:pPr>
    </w:p>
    <w:p>
      <w:pPr>
        <w:ind w:right="40" w:firstLine="323"/>
        <w:spacing w:after="0" w:line="256" w:lineRule="auto"/>
        <w:rPr>
          <w:sz w:val="20"/>
          <w:szCs w:val="20"/>
          <w:color w:val="auto"/>
        </w:rPr>
      </w:pPr>
      <w:r>
        <w:rPr>
          <w:rFonts w:ascii="Times New Roman" w:cs="Times New Roman" w:eastAsia="Times New Roman" w:hAnsi="Times New Roman"/>
          <w:sz w:val="18"/>
          <w:szCs w:val="18"/>
          <w:color w:val="auto"/>
        </w:rPr>
        <w:t>Our largest customer, an agent for the Specialty Admitted Insurance segment, accounted for approximately $175.7 million (12.3%) of our consolidated gross written premium from continuing operations in 2024. This same agent was our largest customer in 2023, accounting for approximately $163.1 million (10.8%) of our consolidated gross written premium from continuing operations in 2023. No other customer generated 10.0% or more of consolidated gross written premiums from continuing operations in 2024 or in 2023. As of December 31, 2024, this agent had given notice of its decision to non-renew or terminate its remaining programs with the Specialty Admitted Insurance segment, with the last program scheduled to end in mid-2025.</w:t>
      </w:r>
    </w:p>
    <w:p>
      <w:pPr>
        <w:spacing w:after="0" w:line="79" w:lineRule="exact"/>
        <w:rPr>
          <w:sz w:val="20"/>
          <w:szCs w:val="20"/>
          <w:color w:val="auto"/>
        </w:rPr>
      </w:pPr>
    </w:p>
    <w:p>
      <w:pPr>
        <w:ind w:right="100" w:firstLine="323"/>
        <w:spacing w:after="0" w:line="264" w:lineRule="auto"/>
        <w:rPr>
          <w:sz w:val="20"/>
          <w:szCs w:val="20"/>
          <w:color w:val="auto"/>
        </w:rPr>
      </w:pPr>
      <w:r>
        <w:rPr>
          <w:rFonts w:ascii="Times New Roman" w:cs="Times New Roman" w:eastAsia="Times New Roman" w:hAnsi="Times New Roman"/>
          <w:sz w:val="18"/>
          <w:szCs w:val="18"/>
          <w:color w:val="auto"/>
        </w:rPr>
        <w:t>Our two largest customers in 2022, both agents for the Specialty Admitted Insurance segment, accounted for approximately $120.9 million (8.6%) and $110.9 million (7.9%) of our consolidated gross written premium from continuing operations in 2022. No customer generated 10.0% or more of consolidated gross written premiums from continuing operations for 2022.</w:t>
      </w:r>
    </w:p>
    <w:p>
      <w:pPr>
        <w:spacing w:after="0" w:line="69" w:lineRule="exact"/>
        <w:rPr>
          <w:sz w:val="20"/>
          <w:szCs w:val="20"/>
          <w:color w:val="auto"/>
        </w:rPr>
      </w:pPr>
    </w:p>
    <w:p>
      <w:pPr>
        <w:ind w:right="440" w:firstLine="323"/>
        <w:spacing w:after="0" w:line="280" w:lineRule="auto"/>
        <w:rPr>
          <w:sz w:val="20"/>
          <w:szCs w:val="20"/>
          <w:color w:val="auto"/>
        </w:rPr>
      </w:pPr>
      <w:r>
        <w:rPr>
          <w:rFonts w:ascii="Times New Roman" w:cs="Times New Roman" w:eastAsia="Times New Roman" w:hAnsi="Times New Roman"/>
          <w:sz w:val="18"/>
          <w:szCs w:val="18"/>
          <w:color w:val="auto"/>
        </w:rPr>
        <w:t>The continued loss or termination of our relationship with our customers, or a material reduction in business with any such party, could materially adversely affect our rate of growth, results of operations and financial condition.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obtain reinsurance coverage at reasonable prices or on terms that provide us adequate protection.</w:t>
      </w:r>
    </w:p>
    <w:p>
      <w:pPr>
        <w:spacing w:after="0" w:line="119" w:lineRule="exact"/>
        <w:rPr>
          <w:sz w:val="20"/>
          <w:szCs w:val="20"/>
          <w:color w:val="auto"/>
        </w:rPr>
      </w:pPr>
    </w:p>
    <w:p>
      <w:pPr>
        <w:ind w:right="320" w:firstLine="323"/>
        <w:spacing w:after="0" w:line="280" w:lineRule="auto"/>
        <w:rPr>
          <w:sz w:val="20"/>
          <w:szCs w:val="20"/>
          <w:color w:val="auto"/>
        </w:rPr>
      </w:pPr>
      <w:r>
        <w:rPr>
          <w:rFonts w:ascii="Times New Roman" w:cs="Times New Roman" w:eastAsia="Times New Roman" w:hAnsi="Times New Roman"/>
          <w:sz w:val="18"/>
          <w:szCs w:val="18"/>
          <w:color w:val="auto"/>
        </w:rPr>
        <w:t>We purchase reinsurance in many of our lines of business to help manage our exposure to insurance and reinsurance risks that we underwrite and to reduce volatility in our results.</w:t>
      </w:r>
    </w:p>
    <w:p>
      <w:pPr>
        <w:spacing w:after="0" w:line="55" w:lineRule="exact"/>
        <w:rPr>
          <w:sz w:val="20"/>
          <w:szCs w:val="20"/>
          <w:color w:val="auto"/>
        </w:rPr>
      </w:pPr>
    </w:p>
    <w:p>
      <w:pPr>
        <w:ind w:right="60" w:firstLine="323"/>
        <w:spacing w:after="0" w:line="253" w:lineRule="auto"/>
        <w:rPr>
          <w:sz w:val="20"/>
          <w:szCs w:val="20"/>
          <w:color w:val="auto"/>
        </w:rPr>
      </w:pPr>
      <w:r>
        <w:rPr>
          <w:rFonts w:ascii="Times New Roman" w:cs="Times New Roman" w:eastAsia="Times New Roman" w:hAnsi="Times New Roman"/>
          <w:sz w:val="18"/>
          <w:szCs w:val="18"/>
          <w:color w:val="auto"/>
        </w:rPr>
        <w:t>The availability and cost of reinsurance are subject to prevailing market conditions, both in terms of price and available capacity, each of which can affect our business volume and profitability. The availability of reasonably affordable reinsurance is a critical element of our business plan. One important way we utilize reinsurance is to reduce volatility in claims payments by limiting our exposure to losses from large risks. Another way we use reinsurance is to purchase substantial protection against concentrated losses when we enter new markets. In addition, the ability to obtain reinsurance is critical to our fee-based fronting business. As a result, our ability to manage volatility and avoid significant losses, expand into new markets, grow by offering insurance to new kinds of enterprises, or grow our fronting business may be limited by the unavailability of reasonably priced reinsurance. We may not be able to obtain reinsurance on acceptable terms or from entities with satisfactory creditworthiness. In such event, if we are unwilling to accept the terms or credit risk of potential reinsurers, we would have to reduce the level of our underwriting commitments, which would reduce our revenues. Reinsurance capacity has become more restricted making reinsurance placements more challenging in recent years.</w:t>
      </w:r>
    </w:p>
    <w:p>
      <w:pPr>
        <w:spacing w:after="0" w:line="79" w:lineRule="exact"/>
        <w:rPr>
          <w:sz w:val="20"/>
          <w:szCs w:val="20"/>
          <w:color w:val="auto"/>
        </w:rPr>
      </w:pPr>
    </w:p>
    <w:p>
      <w:pPr>
        <w:ind w:firstLine="323"/>
        <w:spacing w:after="0" w:line="253" w:lineRule="auto"/>
        <w:rPr>
          <w:sz w:val="20"/>
          <w:szCs w:val="20"/>
          <w:color w:val="auto"/>
        </w:rPr>
      </w:pPr>
      <w:r>
        <w:rPr>
          <w:rFonts w:ascii="Times New Roman" w:cs="Times New Roman" w:eastAsia="Times New Roman" w:hAnsi="Times New Roman"/>
          <w:sz w:val="18"/>
          <w:szCs w:val="18"/>
          <w:color w:val="auto"/>
        </w:rPr>
        <w:t>Many reinsurance companies have begun to exclude certain coverages from, or alter terms in, the reinsurance contracts we enter into with them. Some exclusions relate to risks that we cannot in turn exclude from the policies we write due to business or regulatory constraints. In addition, reinsurers are imposing terms, such as lower per occurrence and aggregate limits, and more exclusions, limiting the protection provided under the reinsurance contract. As a result, we, like other direct insurance companies, write insurance policies which to some extent do not have the benefit of reinsurance protection. These gaps in reinsurance protection expose us to greater risk and greater potential losses. For example, certain reinsurers have excluded coverage for terrorist acts or priced such coverage at unreasonably high rates. Many direct insurers, including us, have written policies without terrorist act exclusions and in many cases we cannot exclude terrorist acts because of regulatory constraints. We may, therefore, be exposed to potential losses as a result of terrorist acts. See also “Item 1. Business — Purchase of Reinsurance.”</w:t>
      </w:r>
    </w:p>
    <w:p>
      <w:pPr>
        <w:spacing w:after="0" w:line="78"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credit risk with regard to our reinsurance counterparties, insurance companies with which we have a fronting arrangement and an indemnification arrangement we have with a former customer.</w:t>
      </w:r>
    </w:p>
    <w:p>
      <w:pPr>
        <w:spacing w:after="0" w:line="52" w:lineRule="exact"/>
        <w:rPr>
          <w:sz w:val="20"/>
          <w:szCs w:val="20"/>
          <w:color w:val="auto"/>
        </w:rPr>
      </w:pPr>
    </w:p>
    <w:p>
      <w:pPr>
        <w:ind w:right="140" w:firstLine="323"/>
        <w:spacing w:after="0" w:line="256" w:lineRule="auto"/>
        <w:rPr>
          <w:sz w:val="20"/>
          <w:szCs w:val="20"/>
          <w:color w:val="auto"/>
        </w:rPr>
      </w:pPr>
      <w:r>
        <w:rPr>
          <w:rFonts w:ascii="Times New Roman" w:cs="Times New Roman" w:eastAsia="Times New Roman" w:hAnsi="Times New Roman"/>
          <w:sz w:val="18"/>
          <w:szCs w:val="18"/>
          <w:color w:val="auto"/>
        </w:rPr>
        <w:t>Although reinsurance makes the assuming reinsurer liable to us to the extent of the risk ceded, we are not relieved of our primary liability to our insureds as the direct insurer. At December 31, 2024, reinsurance recoverables on unpaid losses from our three largest reinsurers was $980.6 million in the aggregate and represented 49.1% of the total balance. Additionally, prepaid reinsurance premiums ceded to three reinsurers at December 31, 2024 was $108.5 million in the aggregate, or 36.6% of the total balance of prepaid reinsurance premiums. In addition to reinsurance purchased to manage our prospective business, we have three retroactive reinsurance arrangements on legacy books of business in the Excess &amp; Surplus Lines segment: the first, 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loss portfolio transfer reinsurance transaction on our legacy commercial auto lines business (the “Commercial Auto LPT”); the second, a combined loss portfolio transfer and adverse development cover reinsurance contract entered into in July 2024 on our Excess &amp; Surplus Lines segment casualty portfolio losses attaching to premium earned 2010-2023, excluding, among others, losses related to commercial auto policies issued to a former large insured or its affiliates (the “casualty subject business”) (the “E&amp;S ADC”); and the third, an adverse development cover reinsurance contract entered into in November 2024 also covering the casualty subject business (the “E&amp;S Top Up ADC”). At December 31, 2024, reinsurance recoverables on the Commercial Auto LPT were $36.6 million and reinsurance recoverables on the E&amp;S ADC were $362.0 million. There were no reinsurance recoverables on the E&amp;S Top Up ADC at December 31, 2024.</w:t>
      </w:r>
    </w:p>
    <w:p>
      <w:pPr>
        <w:spacing w:after="0" w:line="79" w:lineRule="exact"/>
        <w:rPr>
          <w:sz w:val="20"/>
          <w:szCs w:val="20"/>
          <w:color w:val="auto"/>
        </w:rPr>
      </w:pPr>
    </w:p>
    <w:p>
      <w:pPr>
        <w:ind w:firstLine="323"/>
        <w:spacing w:after="0" w:line="252" w:lineRule="auto"/>
        <w:rPr>
          <w:sz w:val="20"/>
          <w:szCs w:val="20"/>
          <w:color w:val="auto"/>
        </w:rPr>
      </w:pPr>
      <w:r>
        <w:rPr>
          <w:rFonts w:ascii="Times New Roman" w:cs="Times New Roman" w:eastAsia="Times New Roman" w:hAnsi="Times New Roman"/>
          <w:sz w:val="18"/>
          <w:szCs w:val="18"/>
          <w:color w:val="auto"/>
        </w:rPr>
        <w:t>At December 31, 2024, all of our material reinsurance recoverable amounts are from companies with A.M. Best ratings of “A-” (Excellent) or better, or, if not rated by A.M. Best, have statutory surplus of $100 million or more, are collateralized by the reinsurer for our benefit through letters of credit or funds held in trust accounts, or represent recoverables from a state residual market for automobile insurance, but we cannot be sure that our reinsurers will pay all reinsurance claims on a timely basis or at all. Similarly, in our fronting business, which we conduct through our Specialty Admitted Insurance segment, we are primarily liable to the insureds because we have issued the policies. While we customarily require a collateral trust arrangement to secure the obligations of the insurance entity for which we are fronting, we do not obtain collateral in every instance. See also “Item 1. Business — Business Segments — Specialty Admitted Insurance Segment — Fronting &amp; Program Business.” Reinsurers or fronting partners may default in their financial obligations to us as the result of insolvency, lack of liquidity, operational failure, fraud, asserted defenses based on agreement wordings or the principle of utmost good faith, asserted deficiencies in the documentation of agreements or for other reasons. The failure of a reinsurer or fronting partner to pay us does not lessen our contractual obligations to insureds. If a reinsurer or fronting partner fails to pay the expected portion of a claim or claims, our net losses might increase substantially and materially adversely affect our financial condition. Any disputes regarding reinsurance contracts, indemnification arrangements and related agreements could be time-consuming, costly and uncertain of success.</w:t>
      </w:r>
    </w:p>
    <w:p>
      <w:pPr>
        <w:spacing w:after="0" w:line="79" w:lineRule="exact"/>
        <w:rPr>
          <w:sz w:val="20"/>
          <w:szCs w:val="20"/>
          <w:color w:val="auto"/>
        </w:rPr>
      </w:pPr>
    </w:p>
    <w:p>
      <w:pPr>
        <w:ind w:firstLine="323"/>
        <w:spacing w:after="0" w:line="255" w:lineRule="auto"/>
        <w:rPr>
          <w:sz w:val="20"/>
          <w:szCs w:val="20"/>
          <w:color w:val="auto"/>
        </w:rPr>
      </w:pPr>
      <w:r>
        <w:rPr>
          <w:rFonts w:ascii="Times New Roman" w:cs="Times New Roman" w:eastAsia="Times New Roman" w:hAnsi="Times New Roman"/>
          <w:sz w:val="18"/>
          <w:szCs w:val="18"/>
          <w:color w:val="auto"/>
        </w:rPr>
        <w:t>Downgrades to the credit ratings of our reinsurance counterparties may result in the reduction of rating agency capital credit provided by those reinsurance contracts and could, therefore, result in a downgrade of our own credit ratings. In addition, under the reinsurance regulations, in many states where our U.S. insurance subsidiaries are domiciled, certain reinsurers are required to collateralize their obligations to us and to the extent they do not do so, our ability for regulators to recognize this reinsurance will be impaired. We evaluate each reinsurance claim based on the facts of the case, historical experience with the reinsurer on similar claims and existing case law and include any amounts deemed uncollectible from the reinsurer in our allowance for credit losses on reinsurance balances. See also “Item 1. Business — Purchase of Reinsurance.”</w:t>
      </w:r>
    </w:p>
    <w:p>
      <w:pPr>
        <w:spacing w:after="0" w:line="78" w:lineRule="exact"/>
        <w:rPr>
          <w:sz w:val="20"/>
          <w:szCs w:val="20"/>
          <w:color w:val="auto"/>
        </w:rPr>
      </w:pPr>
    </w:p>
    <w:p>
      <w:pPr>
        <w:ind w:right="80" w:firstLine="323"/>
        <w:spacing w:after="0" w:line="255" w:lineRule="auto"/>
        <w:rPr>
          <w:sz w:val="20"/>
          <w:szCs w:val="20"/>
          <w:color w:val="auto"/>
        </w:rPr>
      </w:pPr>
      <w:r>
        <w:rPr>
          <w:rFonts w:ascii="Times New Roman" w:cs="Times New Roman" w:eastAsia="Times New Roman" w:hAnsi="Times New Roman"/>
          <w:sz w:val="18"/>
          <w:szCs w:val="18"/>
          <w:color w:val="auto"/>
        </w:rPr>
        <w:t>We are exposed to credit risk relating to a set of insurance contracts previously issued to Rasier, under which the Company pays losses and loss adjustment expenses on the contracts. Rasier is contractually obligated to reimburse us for the losses and loss adjustment expenses paid on their behalf pursuant to indemnification agreements with it. This reimbursement obligation is supported by collateral posted for our benefit in a trust account from time to time. If Rasier fails to reimburse us, and the collateral posted for our benefit to support their reimbursement obligations is insufficient, our financial condition and results of operations could be materially adversely affected. See also “Item 1. Business — Purchase of Reinsurance — Amounts Recoverable from an Indemnifying Party and Reinsurer on Legacy Commercial Auto Book.”</w:t>
      </w:r>
    </w:p>
    <w:p>
      <w:pPr>
        <w:spacing w:after="0" w:line="78" w:lineRule="exact"/>
        <w:rPr>
          <w:sz w:val="20"/>
          <w:szCs w:val="20"/>
          <w:color w:val="auto"/>
        </w:rPr>
      </w:pPr>
    </w:p>
    <w:p>
      <w:pPr>
        <w:ind w:firstLine="323"/>
        <w:spacing w:after="0" w:line="256" w:lineRule="auto"/>
        <w:rPr>
          <w:sz w:val="20"/>
          <w:szCs w:val="20"/>
          <w:color w:val="auto"/>
        </w:rPr>
      </w:pPr>
      <w:r>
        <w:rPr>
          <w:rFonts w:ascii="Times New Roman" w:cs="Times New Roman" w:eastAsia="Times New Roman" w:hAnsi="Times New Roman"/>
          <w:sz w:val="18"/>
          <w:szCs w:val="18"/>
          <w:color w:val="auto"/>
        </w:rPr>
        <w:t>In situations where we manage our credit exposure to reinsurers or fronting partners with a collateral arrangement, which includes our Commercial Auto LPT and indemnification arrangements on the Rasier policies, it is possible that the collateral could be insufficient to cover all claims, either as a result of a decline in the value of the collateral, an increase in the obligations being collateralized, a failure of management to monitor the adequacy of the collateral held, or the refusal of the counterparty to post additional collateral. In that event, we would be contractually entitled to recovery from our reinsurer or the entity for which we are fronting, but, for a variety of reasons, the other party could default in its obligations.</w:t>
      </w:r>
    </w:p>
    <w:p>
      <w:pPr>
        <w:spacing w:after="0" w:line="75"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underwrite risks accurately and charge and collect competitive yet profitable rates to our policyholders, our business, financial condition and results of operations will be materially adversely affected</w:t>
      </w:r>
      <w:r>
        <w:rPr>
          <w:rFonts w:ascii="Times New Roman" w:cs="Times New Roman" w:eastAsia="Times New Roman" w:hAnsi="Times New Roman"/>
          <w:sz w:val="18"/>
          <w:szCs w:val="18"/>
          <w:b w:val="1"/>
          <w:bCs w:val="1"/>
          <w:color w:val="auto"/>
        </w:rPr>
        <w:t>.</w:t>
      </w:r>
    </w:p>
    <w:p>
      <w:pPr>
        <w:spacing w:after="0" w:line="52" w:lineRule="exact"/>
        <w:rPr>
          <w:sz w:val="20"/>
          <w:szCs w:val="20"/>
          <w:color w:val="auto"/>
        </w:rPr>
      </w:pPr>
    </w:p>
    <w:p>
      <w:pPr>
        <w:ind w:right="60" w:firstLine="323"/>
        <w:spacing w:after="0" w:line="255" w:lineRule="auto"/>
        <w:rPr>
          <w:sz w:val="20"/>
          <w:szCs w:val="20"/>
          <w:color w:val="auto"/>
        </w:rPr>
      </w:pPr>
      <w:r>
        <w:rPr>
          <w:rFonts w:ascii="Times New Roman" w:cs="Times New Roman" w:eastAsia="Times New Roman" w:hAnsi="Times New Roman"/>
          <w:sz w:val="18"/>
          <w:szCs w:val="18"/>
          <w:color w:val="auto"/>
        </w:rPr>
        <w:t>In general, the premiums for our insurance policies are established at the time a policy is issued and, therefore, before all of our underlying costs are known. Like other insurance companies, we rely on estimates and assumptions in setting our premium rates. Establishing adequate premium rates is necessary, together with investment income, to generate sufficient revenue to offset losses, loss adjustment expenses and other underwriting costs and to earn a profit. If we do not accurately assess the risks that we assume, we may not charge adequate premiums to cover our losses and expenses, which would materially adversely affect our results of operations and our profitability. Alternatively, we could set our premiums too high, which could reduce our competitiveness and lead to lower revenues.</w:t>
      </w:r>
    </w:p>
    <w:p>
      <w:pPr>
        <w:spacing w:after="0" w:line="78" w:lineRule="exact"/>
        <w:rPr>
          <w:sz w:val="20"/>
          <w:szCs w:val="20"/>
          <w:color w:val="auto"/>
        </w:rPr>
      </w:pPr>
    </w:p>
    <w:p>
      <w:pPr>
        <w:ind w:right="380" w:firstLine="323"/>
        <w:spacing w:after="0" w:line="280" w:lineRule="auto"/>
        <w:rPr>
          <w:sz w:val="20"/>
          <w:szCs w:val="20"/>
          <w:color w:val="auto"/>
        </w:rPr>
      </w:pPr>
      <w:r>
        <w:rPr>
          <w:rFonts w:ascii="Times New Roman" w:cs="Times New Roman" w:eastAsia="Times New Roman" w:hAnsi="Times New Roman"/>
          <w:sz w:val="18"/>
          <w:szCs w:val="18"/>
          <w:color w:val="auto"/>
        </w:rPr>
        <w:t>Pricing involves the acquisition and analysis of historical loss data and the projection of future trends, loss costs and expenses, and inflation trends, among other factors, for each of our products in multiple risk tiers and many different markets. In order to accurately price our policies, we: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80" w:hanging="250"/>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and properly analyze a substantial volume of data from our insureds;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test and apply appropriate actuarial projections and rating formulas;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closely monitor and timely recognize changes in trends; and</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both frequency and severity of our insureds’ losses with reasonable accuracy.</w:t>
      </w:r>
    </w:p>
    <w:p>
      <w:pPr>
        <w:spacing w:after="0" w:line="115" w:lineRule="exact"/>
        <w:rPr>
          <w:sz w:val="20"/>
          <w:szCs w:val="20"/>
          <w:color w:val="auto"/>
        </w:rPr>
      </w:pPr>
    </w:p>
    <w:p>
      <w:pPr>
        <w:ind w:right="300" w:firstLine="323"/>
        <w:spacing w:after="0" w:line="280" w:lineRule="auto"/>
        <w:rPr>
          <w:sz w:val="20"/>
          <w:szCs w:val="20"/>
          <w:color w:val="auto"/>
        </w:rPr>
      </w:pPr>
      <w:r>
        <w:rPr>
          <w:rFonts w:ascii="Times New Roman" w:cs="Times New Roman" w:eastAsia="Times New Roman" w:hAnsi="Times New Roman"/>
          <w:sz w:val="18"/>
          <w:szCs w:val="18"/>
          <w:color w:val="auto"/>
        </w:rPr>
        <w:t>We seek to implement our pricing accurately in accordance with our assumptions. Our ability to undertake these efforts successfully and, as a result, accurately price our policies, is subject to a number of risks and uncertainties, including:</w:t>
      </w:r>
    </w:p>
    <w:p>
      <w:pPr>
        <w:spacing w:after="0" w:line="55" w:lineRule="exact"/>
        <w:rPr>
          <w:sz w:val="20"/>
          <w:szCs w:val="20"/>
          <w:color w:val="auto"/>
        </w:rPr>
      </w:pPr>
    </w:p>
    <w:p>
      <w:pPr>
        <w:ind w:left="580" w:hanging="250"/>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unreliable data;</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incomplete analysis of available data;</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generally inherent in estimates and assumptions;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implement appropriate actuarial projections and rating formulas or other pricing methodologies;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constraints on rate increases;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estimate investment yields and the duration of our liability for loss and loss adjustment expenses; and</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court decisions, legislation or regulatory action.</w:t>
      </w:r>
    </w:p>
    <w:p>
      <w:pPr>
        <w:spacing w:after="0" w:line="115" w:lineRule="exact"/>
        <w:rPr>
          <w:sz w:val="20"/>
          <w:szCs w:val="20"/>
          <w:color w:val="auto"/>
        </w:rPr>
      </w:pPr>
    </w:p>
    <w:p>
      <w:pPr>
        <w:ind w:right="180" w:firstLine="323"/>
        <w:spacing w:after="0" w:line="259" w:lineRule="auto"/>
        <w:rPr>
          <w:sz w:val="20"/>
          <w:szCs w:val="20"/>
          <w:color w:val="auto"/>
        </w:rPr>
      </w:pPr>
      <w:r>
        <w:rPr>
          <w:rFonts w:ascii="Times New Roman" w:cs="Times New Roman" w:eastAsia="Times New Roman" w:hAnsi="Times New Roman"/>
          <w:sz w:val="18"/>
          <w:szCs w:val="18"/>
          <w:color w:val="auto"/>
        </w:rPr>
        <w:t>In addition to charging profitable rates on the insurance policies we issue, we also must be able to collect the premiums, deductibles, and self-insured retentions that our insureds agreed to pay at the inception of their policies. The inability or refusal of our insureds to pay the amounts owed by them pursuant to their policies undermines our goal of underwriting risk accurately and charging competitive yet profitable rates, and could adversely affect our results of operations and our profitability.</w:t>
      </w:r>
    </w:p>
    <w:p>
      <w:pPr>
        <w:spacing w:after="0" w:line="7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failure of any of the loss limitations or exclusions we employ, or changes in other claims or coverage issues, could have a material adverse effect on our financial condition or results of operations.</w:t>
      </w:r>
    </w:p>
    <w:p>
      <w:pPr>
        <w:spacing w:after="0" w:line="52" w:lineRule="exact"/>
        <w:rPr>
          <w:sz w:val="20"/>
          <w:szCs w:val="20"/>
          <w:color w:val="auto"/>
        </w:rPr>
      </w:pPr>
    </w:p>
    <w:p>
      <w:pPr>
        <w:ind w:firstLine="323"/>
        <w:spacing w:after="0" w:line="264" w:lineRule="auto"/>
        <w:rPr>
          <w:sz w:val="20"/>
          <w:szCs w:val="20"/>
          <w:color w:val="auto"/>
        </w:rPr>
      </w:pPr>
      <w:r>
        <w:rPr>
          <w:rFonts w:ascii="Times New Roman" w:cs="Times New Roman" w:eastAsia="Times New Roman" w:hAnsi="Times New Roman"/>
          <w:sz w:val="18"/>
          <w:szCs w:val="18"/>
          <w:color w:val="auto"/>
        </w:rPr>
        <w:t>Although we seek to mitigate our loss exposure through a variety of methods, the future is inherently unpredictable. It is difficult to predict the timing, frequency and severity of losses with statistical certainty. It is not possible to completely eliminate our exposure to unforecasted or unpredictable events and, to the extent that losses from such risks occur, our financial condition and results of operations could be materially adversely affected.</w:t>
      </w:r>
    </w:p>
    <w:p>
      <w:pPr>
        <w:spacing w:after="0" w:line="69" w:lineRule="exact"/>
        <w:rPr>
          <w:sz w:val="20"/>
          <w:szCs w:val="20"/>
          <w:color w:val="auto"/>
        </w:rPr>
      </w:pPr>
    </w:p>
    <w:p>
      <w:pPr>
        <w:ind w:firstLine="323"/>
        <w:spacing w:after="0" w:line="264" w:lineRule="auto"/>
        <w:rPr>
          <w:sz w:val="20"/>
          <w:szCs w:val="20"/>
          <w:color w:val="auto"/>
        </w:rPr>
      </w:pPr>
      <w:r>
        <w:rPr>
          <w:rFonts w:ascii="Times New Roman" w:cs="Times New Roman" w:eastAsia="Times New Roman" w:hAnsi="Times New Roman"/>
          <w:sz w:val="18"/>
          <w:szCs w:val="18"/>
          <w:color w:val="auto"/>
        </w:rPr>
        <w:t>For instance, various provisions of our policies, such as limitations or exclusions from coverage or choice of forum, which have been negotiated to limit our risks, may not be enforceable in the manner we intend. At the present time, we employ a variety of endorsements to our policies that limit exposure to known risks.</w:t>
      </w:r>
    </w:p>
    <w:p>
      <w:pPr>
        <w:spacing w:after="0" w:line="69" w:lineRule="exact"/>
        <w:rPr>
          <w:sz w:val="20"/>
          <w:szCs w:val="20"/>
          <w:color w:val="auto"/>
        </w:rPr>
      </w:pPr>
    </w:p>
    <w:p>
      <w:pPr>
        <w:ind w:right="100" w:firstLine="323"/>
        <w:spacing w:after="0" w:line="252" w:lineRule="auto"/>
        <w:rPr>
          <w:sz w:val="20"/>
          <w:szCs w:val="20"/>
          <w:color w:val="auto"/>
        </w:rPr>
      </w:pPr>
      <w:r>
        <w:rPr>
          <w:rFonts w:ascii="Times New Roman" w:cs="Times New Roman" w:eastAsia="Times New Roman" w:hAnsi="Times New Roman"/>
          <w:sz w:val="18"/>
          <w:szCs w:val="18"/>
          <w:color w:val="auto"/>
        </w:rPr>
        <w:t>In addition, we design our Excess and Surplus Lines segment’s policy terms to manage our exposure to expanding theories of legal liability like those which have given rise to claims for lead paint, asbestos, mold, construction defects and environmental matters. Many of the policies we issue also include conditions requiring the prompt reporting of claims to us and entitle us to decline coverage in the event of a violation of that condition. Also, many of our policies limit the period during which a policyholder may bring a claim under the policy, which in many cases is shorter than the statutory period under which such claims can be brought against our policyholders. While these exclusions and limitations help us assess and reduce our loss exposure and help eliminate known exposures to certain risks, it is possible that a court or regulatory authority could nullify or void an exclusion or legislation could be enacted modifying or barring the use of such endorsements and limitations. These types of governmental actions could result in higher than anticipated losses and loss adjustment expenses, which could have a material adverse effect on our financial condition or results of operations. In some instances, these changes may not become apparent until sometime after we have issued insurance policies that are affected by the changes. As a result, the full extent of liability under our insurance contracts may not be known for many years after a contract is issued.</w:t>
      </w:r>
    </w:p>
    <w:p>
      <w:pPr>
        <w:spacing w:after="0" w:line="80"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have exposure to losses arising from unpredictable natural disasters, terrorist acts, and other catastrophic events. Claims from these events could reduce our earnings and cause volatility in our results of operations.</w:t>
      </w:r>
    </w:p>
    <w:p>
      <w:pPr>
        <w:spacing w:after="0" w:line="52" w:lineRule="exact"/>
        <w:rPr>
          <w:sz w:val="20"/>
          <w:szCs w:val="20"/>
          <w:color w:val="auto"/>
        </w:rPr>
      </w:pPr>
    </w:p>
    <w:p>
      <w:pPr>
        <w:ind w:right="100" w:firstLine="323"/>
        <w:spacing w:after="0" w:line="264" w:lineRule="auto"/>
        <w:rPr>
          <w:sz w:val="20"/>
          <w:szCs w:val="20"/>
          <w:color w:val="auto"/>
        </w:rPr>
      </w:pPr>
      <w:r>
        <w:rPr>
          <w:rFonts w:ascii="Times New Roman" w:cs="Times New Roman" w:eastAsia="Times New Roman" w:hAnsi="Times New Roman"/>
          <w:sz w:val="18"/>
          <w:szCs w:val="18"/>
          <w:color w:val="auto"/>
        </w:rPr>
        <w:t>We have exposure to losses arising from unpredictable natural disasters, terrorist acts, and other catastrophic events. These events can cause losses in a variety of our property-casualty lines and generally result in an increase in the number of claims filed as well as the amount of compensation sought by claimants.</w:t>
      </w:r>
    </w:p>
    <w:p>
      <w:pPr>
        <w:spacing w:after="0" w:line="69" w:lineRule="exact"/>
        <w:rPr>
          <w:sz w:val="20"/>
          <w:szCs w:val="20"/>
          <w:color w:val="auto"/>
        </w:rPr>
      </w:pPr>
    </w:p>
    <w:p>
      <w:pPr>
        <w:jc w:val="both"/>
        <w:ind w:right="300" w:firstLine="323"/>
        <w:spacing w:after="0" w:line="256" w:lineRule="auto"/>
        <w:rPr>
          <w:sz w:val="20"/>
          <w:szCs w:val="20"/>
          <w:color w:val="auto"/>
        </w:rPr>
      </w:pPr>
      <w:r>
        <w:rPr>
          <w:rFonts w:ascii="Times New Roman" w:cs="Times New Roman" w:eastAsia="Times New Roman" w:hAnsi="Times New Roman"/>
          <w:sz w:val="18"/>
          <w:szCs w:val="18"/>
          <w:color w:val="auto"/>
        </w:rPr>
        <w:t>The incidence and severity of natural disasters, terrorist acts, and other catastrophic events are inherently unpredictable. The extent of losses from catastrophes is a function of the frequency of loss events, the total amount of insured exposure in the area affected by each event and the severity of the events. Claims from catastrophic events could exceed our amount of reinsurance purchased to protect us from such events, cause us to pay reinstatement premiums, reduce our earnings and cash flows, cause volatility in our results of operations and cash flows for any fiscal period or materially impact our financial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For example, for the third quarter ending September 30, 2022, we incurred $5.0 million in net catastrophe losses related to Hurricane Ian.</w:t>
      </w:r>
    </w:p>
    <w:p>
      <w:pPr>
        <w:spacing w:after="0" w:line="115" w:lineRule="exact"/>
        <w:rPr>
          <w:sz w:val="20"/>
          <w:szCs w:val="20"/>
          <w:color w:val="auto"/>
        </w:rPr>
      </w:pPr>
    </w:p>
    <w:p>
      <w:pPr>
        <w:ind w:firstLine="323"/>
        <w:spacing w:after="0" w:line="253" w:lineRule="auto"/>
        <w:rPr>
          <w:sz w:val="20"/>
          <w:szCs w:val="20"/>
          <w:color w:val="auto"/>
        </w:rPr>
      </w:pPr>
      <w:r>
        <w:rPr>
          <w:rFonts w:ascii="Times New Roman" w:cs="Times New Roman" w:eastAsia="Times New Roman" w:hAnsi="Times New Roman"/>
          <w:sz w:val="18"/>
          <w:szCs w:val="18"/>
          <w:color w:val="auto"/>
        </w:rPr>
        <w:t>A large-scale pandemic, the continued threat or occurrence of terrorism, within the United States and abroad, or military and other actions, and heightened security measures in response to these types of threats may cause significant volatility and losses in our investment portfolio from declines in the equity markets and from interest rate changes in the United States, Europe and elsewhere, and result in loss of life, property damage, disruptions to commerce and reduced economic activity. Some of our assets in our investment portfolio may be adversely affected by declines in the equity markets and reduced economic activity caused by a large-scale pandemic or the continued threat of terrorism. Additionally, a large-scale pandemic or terrorist act could have a material effect on sales, profitability, competitiveness, marketability of product offerings, liquidity and operating results. For example, the COVID-19 pandemic presented, and other future pandemics could present, inflation, supply chain disruptions, labor shortages, backlogs in the court system, responsive regulatory actions and mandates, financial market disruptions, and economic downturn, among other things.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 of emerging claim and coverage issues on our business is uncertain.</w:t>
      </w:r>
    </w:p>
    <w:p>
      <w:pPr>
        <w:spacing w:after="0" w:line="119" w:lineRule="exact"/>
        <w:rPr>
          <w:sz w:val="20"/>
          <w:szCs w:val="20"/>
          <w:color w:val="auto"/>
        </w:rPr>
      </w:pPr>
    </w:p>
    <w:p>
      <w:pPr>
        <w:ind w:right="20" w:firstLine="323"/>
        <w:spacing w:after="0" w:line="256" w:lineRule="auto"/>
        <w:rPr>
          <w:sz w:val="20"/>
          <w:szCs w:val="20"/>
          <w:color w:val="auto"/>
        </w:rPr>
      </w:pPr>
      <w:r>
        <w:rPr>
          <w:rFonts w:ascii="Times New Roman" w:cs="Times New Roman" w:eastAsia="Times New Roman" w:hAnsi="Times New Roman"/>
          <w:sz w:val="18"/>
          <w:szCs w:val="18"/>
          <w:color w:val="auto"/>
        </w:rPr>
        <w:t>As industry practices and legal, judicial, social and other environmental conditions change, unexpected and unintended issues related to claims and coverage may emerge. These issues may materially adversely affect our business by either broadening coverage beyond our underwriting intent or by increasing the number or size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Examples of these claims and coverage issues include, but are not limited to:</w:t>
      </w:r>
    </w:p>
    <w:p>
      <w:pPr>
        <w:spacing w:after="0" w:line="115" w:lineRule="exact"/>
        <w:rPr>
          <w:sz w:val="20"/>
          <w:szCs w:val="20"/>
          <w:color w:val="auto"/>
        </w:rPr>
      </w:pPr>
    </w:p>
    <w:p>
      <w:pPr>
        <w:ind w:left="660" w:right="140" w:hanging="330"/>
        <w:spacing w:after="0" w:line="264" w:lineRule="auto"/>
        <w:tabs>
          <w:tab w:leader="none" w:pos="57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Judicial or Legislative Expansion of Coverage Terms or Theories of Liability — Evolving regulations, potential new legislation and emerging expanded theories of liability can adversely impact the application of policy terms, coverage requirements, potential liability, and claims handling processes.</w:t>
      </w:r>
    </w:p>
    <w:p>
      <w:pPr>
        <w:spacing w:after="0" w:line="69" w:lineRule="exact"/>
        <w:rPr>
          <w:rFonts w:ascii="Times New Roman" w:cs="Times New Roman" w:eastAsia="Times New Roman" w:hAnsi="Times New Roman"/>
          <w:sz w:val="18"/>
          <w:szCs w:val="18"/>
          <w:color w:val="auto"/>
        </w:rPr>
      </w:pPr>
    </w:p>
    <w:p>
      <w:pPr>
        <w:ind w:left="660" w:right="140" w:hanging="330"/>
        <w:spacing w:after="0" w:line="259" w:lineRule="auto"/>
        <w:tabs>
          <w:tab w:leader="none" w:pos="57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Factors, Social Inflation and Litigation Trends — Economic conditions, such as inflation, interest rate fluctuations, and market volatility and changes in the stability of the political environment can influence claim frequency and severity. For example, evolving legal interpretation and a rise in large jury awards can extend coverage beyond our initial underwriting intent, resulting in increased claim costs. Similarly, general economic inflation can increase medical, repair and replacement costs, leading to higher claim payouts.</w:t>
      </w:r>
    </w:p>
    <w:p>
      <w:pPr>
        <w:spacing w:after="0" w:line="73" w:lineRule="exact"/>
        <w:rPr>
          <w:rFonts w:ascii="Times New Roman" w:cs="Times New Roman" w:eastAsia="Times New Roman" w:hAnsi="Times New Roman"/>
          <w:sz w:val="18"/>
          <w:szCs w:val="18"/>
          <w:color w:val="auto"/>
        </w:rPr>
      </w:pPr>
    </w:p>
    <w:p>
      <w:pPr>
        <w:ind w:left="660" w:right="140" w:hanging="330"/>
        <w:spacing w:after="0" w:line="259" w:lineRule="auto"/>
        <w:tabs>
          <w:tab w:leader="none" w:pos="57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Advancements Leading to Changes in Insured's Business Model — The rapid adoption of technology has caused the continued evolution of business models and fundamental changes in consumer and human behavior leading to unintended and unanticipated expansions in exposure. One such recent example of this phenomenon is claims arising out of the use of personal property in commercial transactions related to the so-called "sharing economy."</w:t>
      </w:r>
    </w:p>
    <w:p>
      <w:pPr>
        <w:spacing w:after="0" w:line="73" w:lineRule="exact"/>
        <w:rPr>
          <w:rFonts w:ascii="Times New Roman" w:cs="Times New Roman" w:eastAsia="Times New Roman" w:hAnsi="Times New Roman"/>
          <w:sz w:val="18"/>
          <w:szCs w:val="18"/>
          <w:color w:val="auto"/>
        </w:rPr>
      </w:pPr>
    </w:p>
    <w:p>
      <w:pPr>
        <w:ind w:left="660" w:right="20" w:hanging="330"/>
        <w:spacing w:after="0" w:line="259" w:lineRule="auto"/>
        <w:tabs>
          <w:tab w:leader="none" w:pos="56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Advancements in Bioengineering, Life and Food Sciences — The continued rapid advancement in bioengineering, life, food and other sciences may lead to the ingestion of and/or implantation of new compounds into the human body resulting in long-term unintended consequences. Previous and current examples of such exposures include asbestos, benzene, Diethylstilbestrol (DES), implantable medical devices (e.g., metal-on-metal hips), Nanotechnology, Bisphenol A (BPA) and Per- and Polyfluoroalkyl Substances (PFAS).</w:t>
      </w:r>
    </w:p>
    <w:p>
      <w:pPr>
        <w:spacing w:after="0" w:line="74" w:lineRule="exact"/>
        <w:rPr>
          <w:sz w:val="20"/>
          <w:szCs w:val="20"/>
          <w:color w:val="auto"/>
        </w:rPr>
      </w:pPr>
    </w:p>
    <w:p>
      <w:pPr>
        <w:jc w:val="both"/>
        <w:ind w:right="100" w:firstLine="323"/>
        <w:spacing w:after="0" w:line="264" w:lineRule="auto"/>
        <w:rPr>
          <w:sz w:val="20"/>
          <w:szCs w:val="20"/>
          <w:color w:val="auto"/>
        </w:rPr>
      </w:pPr>
      <w:r>
        <w:rPr>
          <w:rFonts w:ascii="Times New Roman" w:cs="Times New Roman" w:eastAsia="Times New Roman" w:hAnsi="Times New Roman"/>
          <w:sz w:val="18"/>
          <w:szCs w:val="18"/>
          <w:color w:val="auto"/>
        </w:rPr>
        <w:t>In addition, the passage of new legislation designed to expand the right to sue, to remove limitations on recovery, to deem by statute the existence of a covered occurrence, to extend or eliminate the statutes of limitations or otherwise to repeal or weaken tort reforms could have a material and adverse effect on our results of operations and/or financial position.</w:t>
      </w:r>
    </w:p>
    <w:p>
      <w:pPr>
        <w:spacing w:after="0" w:line="65"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investment portfolio is subject to significant market and credit risks, which could result in a material adverse impact on our financial condition or results of operations.</w:t>
      </w:r>
    </w:p>
    <w:p>
      <w:pPr>
        <w:spacing w:after="0" w:line="52" w:lineRule="exact"/>
        <w:rPr>
          <w:sz w:val="20"/>
          <w:szCs w:val="20"/>
          <w:color w:val="auto"/>
        </w:rPr>
      </w:pPr>
    </w:p>
    <w:p>
      <w:pPr>
        <w:ind w:right="120" w:firstLine="323"/>
        <w:spacing w:after="0" w:line="287" w:lineRule="auto"/>
        <w:rPr>
          <w:sz w:val="20"/>
          <w:szCs w:val="20"/>
          <w:color w:val="auto"/>
        </w:rPr>
      </w:pPr>
      <w:r>
        <w:rPr>
          <w:rFonts w:ascii="Times New Roman" w:cs="Times New Roman" w:eastAsia="Times New Roman" w:hAnsi="Times New Roman"/>
          <w:sz w:val="17"/>
          <w:szCs w:val="17"/>
          <w:color w:val="auto"/>
        </w:rPr>
        <w:t>Our results of operations depend, in part, on the performance of our investment portfolio. We seek to hold a diversified portfolio of investments that is managed by professional investment advisory management firms in accordance with our investment policy and periodically reviewed by our Investment Committee. However, our investments are subject to general economic conditions and market risks as well as risks inherent to particular securities.</w:t>
      </w:r>
    </w:p>
    <w:p>
      <w:pPr>
        <w:spacing w:after="0" w:line="51" w:lineRule="exact"/>
        <w:rPr>
          <w:sz w:val="20"/>
          <w:szCs w:val="20"/>
          <w:color w:val="auto"/>
        </w:rPr>
      </w:pPr>
    </w:p>
    <w:p>
      <w:pPr>
        <w:ind w:right="20" w:firstLine="323"/>
        <w:spacing w:after="0" w:line="255" w:lineRule="auto"/>
        <w:rPr>
          <w:sz w:val="20"/>
          <w:szCs w:val="20"/>
          <w:color w:val="auto"/>
        </w:rPr>
      </w:pPr>
      <w:r>
        <w:rPr>
          <w:rFonts w:ascii="Times New Roman" w:cs="Times New Roman" w:eastAsia="Times New Roman" w:hAnsi="Times New Roman"/>
          <w:sz w:val="18"/>
          <w:szCs w:val="18"/>
          <w:color w:val="auto"/>
        </w:rPr>
        <w:t>Our primary market risk exposures are to changes in interest rates and equity prices. See also “Item 7A. Quantitative and Qualitative Disclosures About Market Risk.” A decline in interest rates reduces the return available on short-term investments and new fixed maturity investments (including those purchased for re-investment), thereby negatively impacting our net investment income on a going forward basis, while rising interest rates reduce the market value of existing fixed maturity investments, thereby negatively impacting our book value. Prior to 2022, interest rates had been at or near historic lows, limiting yields on fixed income investments and negatively impacting investment income. Increases in interest rates since 2022, while generating higher investment yields, led to declines in the fair values of our fixed income securities, influenced by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duration of our fixed income investments and the extent of interest rate increases. For example, for the year ended December 31, 2022, we experienced unrealized losses on fixed maturity investments of $193.0 million, which were recognized in other comprehensive loss. During 2023, the fair values of our fixed maturity securities recovered some of the unrealized losses with signs of inflation easing and optimism about future Federal Reserve interest rate cuts. Unrealized gains of $99.3 million were recognized in other comprehensive income for the year ended December 31, 2023. In 2024, interest rates rose moderately and $6.3 million of unrealized losses were recognized in other comprehensive loss for the year ended December 31, 2024. Some fixed income securities have call or prepayment options, which represent possible reinvestment risk in declining rate environments. Other fixed income securities such as mortgage-backed and asset-backed securities carry prepayment risk or, in a rising interest rate environment, may not pre-pay as quickly as expected. In addition, individual securities in our fixed income securities portfolio are subject to credit risk and default. Downgrades in the credit ratings of fixed maturities can have a significant negative effect on the market valuation of such securities.</w:t>
      </w:r>
    </w:p>
    <w:p>
      <w:pPr>
        <w:spacing w:after="0" w:line="79" w:lineRule="exact"/>
        <w:rPr>
          <w:sz w:val="20"/>
          <w:szCs w:val="20"/>
          <w:color w:val="auto"/>
        </w:rPr>
      </w:pPr>
    </w:p>
    <w:p>
      <w:pPr>
        <w:ind w:right="320" w:firstLine="323"/>
        <w:spacing w:after="0" w:line="264" w:lineRule="auto"/>
        <w:rPr>
          <w:sz w:val="20"/>
          <w:szCs w:val="20"/>
          <w:color w:val="auto"/>
        </w:rPr>
      </w:pPr>
      <w:r>
        <w:rPr>
          <w:rFonts w:ascii="Times New Roman" w:cs="Times New Roman" w:eastAsia="Times New Roman" w:hAnsi="Times New Roman"/>
          <w:sz w:val="18"/>
          <w:szCs w:val="18"/>
          <w:color w:val="auto"/>
        </w:rPr>
        <w:t>In the event of a financial crisis, return to a high inflationary environment, or severe downturn in public debt and equity markets, we could incur substantial realized and unrealized investment losses in future periods, which could have a material adverse impact on our financial condition, results of operations, debt and financial strength ratings, insurance subsidiaries’ capital liquidity and ability to access capital markets.</w:t>
      </w:r>
    </w:p>
    <w:p>
      <w:pPr>
        <w:spacing w:after="0" w:line="69" w:lineRule="exact"/>
        <w:rPr>
          <w:sz w:val="20"/>
          <w:szCs w:val="20"/>
          <w:color w:val="auto"/>
        </w:rPr>
      </w:pPr>
    </w:p>
    <w:p>
      <w:pPr>
        <w:jc w:val="both"/>
        <w:ind w:right="40" w:firstLine="323"/>
        <w:spacing w:after="0" w:line="264" w:lineRule="auto"/>
        <w:rPr>
          <w:sz w:val="20"/>
          <w:szCs w:val="20"/>
          <w:color w:val="auto"/>
        </w:rPr>
      </w:pPr>
      <w:r>
        <w:rPr>
          <w:rFonts w:ascii="Times New Roman" w:cs="Times New Roman" w:eastAsia="Times New Roman" w:hAnsi="Times New Roman"/>
          <w:sz w:val="18"/>
          <w:szCs w:val="18"/>
          <w:color w:val="auto"/>
        </w:rPr>
        <w:t>The value of our investment portfolio is subject to the risk that certain investments may default or become impaired due to deterioration in the financial condition of one or more issuers of the securities held, or due to deterioration in the financial condition of an insurer that guarantees an issuer’s payments of such investments. Such defaults and impairments could reduce our net investment income and result in realized investment losses.</w:t>
      </w:r>
    </w:p>
    <w:p>
      <w:pPr>
        <w:spacing w:after="0" w:line="69" w:lineRule="exact"/>
        <w:rPr>
          <w:sz w:val="20"/>
          <w:szCs w:val="20"/>
          <w:color w:val="auto"/>
        </w:rPr>
      </w:pPr>
    </w:p>
    <w:p>
      <w:pPr>
        <w:ind w:right="20" w:firstLine="323"/>
        <w:spacing w:after="0" w:line="259" w:lineRule="auto"/>
        <w:rPr>
          <w:sz w:val="20"/>
          <w:szCs w:val="20"/>
          <w:color w:val="auto"/>
        </w:rPr>
      </w:pPr>
      <w:r>
        <w:rPr>
          <w:rFonts w:ascii="Times New Roman" w:cs="Times New Roman" w:eastAsia="Times New Roman" w:hAnsi="Times New Roman"/>
          <w:sz w:val="18"/>
          <w:szCs w:val="18"/>
          <w:color w:val="auto"/>
        </w:rPr>
        <w:t>We hold investments in bank loans (7.4% of the carrying value of our cash and invested assets (excluding restricted cash equivalents) as of December 31, 2024. Most of these loans are issued to sub-investment grade borrowers. While this class of investment has been profitable for us, a severe downturn in the markets could materially adversely affect the value of these investments, including the possibility that we would suffer substantial losses on this portfolio. As of December 31, 2024, the fair value of our investments in bank loans was $142.4 million.</w:t>
      </w:r>
    </w:p>
    <w:p>
      <w:pPr>
        <w:spacing w:after="0" w:line="74" w:lineRule="exact"/>
        <w:rPr>
          <w:sz w:val="20"/>
          <w:szCs w:val="20"/>
          <w:color w:val="auto"/>
        </w:rPr>
      </w:pPr>
    </w:p>
    <w:p>
      <w:pPr>
        <w:jc w:val="both"/>
        <w:ind w:right="40" w:firstLine="323"/>
        <w:spacing w:after="0" w:line="264" w:lineRule="auto"/>
        <w:rPr>
          <w:sz w:val="20"/>
          <w:szCs w:val="20"/>
          <w:color w:val="auto"/>
        </w:rPr>
      </w:pPr>
      <w:r>
        <w:rPr>
          <w:rFonts w:ascii="Times New Roman" w:cs="Times New Roman" w:eastAsia="Times New Roman" w:hAnsi="Times New Roman"/>
          <w:sz w:val="18"/>
          <w:szCs w:val="18"/>
          <w:color w:val="auto"/>
        </w:rPr>
        <w:t>As of December 31, 2024, we held equity investments of $7.7 million in non-public limited liability companies that have invested in renewable energy investments. We invested in the equity of these projects because we anticipate earning attractive risk-adjusted returns from these investments. However, our investments in these projects are illiquid and the ultimate results from these investments may be unknown for some time.</w:t>
      </w:r>
    </w:p>
    <w:p>
      <w:pPr>
        <w:spacing w:after="0" w:line="69" w:lineRule="exact"/>
        <w:rPr>
          <w:sz w:val="20"/>
          <w:szCs w:val="20"/>
          <w:color w:val="auto"/>
        </w:rPr>
      </w:pPr>
    </w:p>
    <w:p>
      <w:pPr>
        <w:ind w:right="40" w:firstLine="323"/>
        <w:spacing w:after="0" w:line="255" w:lineRule="auto"/>
        <w:rPr>
          <w:sz w:val="20"/>
          <w:szCs w:val="20"/>
          <w:color w:val="auto"/>
        </w:rPr>
      </w:pPr>
      <w:r>
        <w:rPr>
          <w:rFonts w:ascii="Times New Roman" w:cs="Times New Roman" w:eastAsia="Times New Roman" w:hAnsi="Times New Roman"/>
          <w:sz w:val="18"/>
          <w:szCs w:val="18"/>
          <w:color w:val="auto"/>
        </w:rPr>
        <w:t>We also invest in marketable equity securities. These securities are carried on the balance sheet at fair market value and are subject to potential losses and declines in market value. Our invested assets also include interests in limited partnerships and privately held debt investments totaling $29.0 million at December 31, 2024. These investments were designed to provide diversification of risk and enhance the return on the overall portfolio. However, these investments entail substantial risks and are generally illiquid. Our investment portfolio is subject to increased valuation uncertainties when investment markets are illiquid. The valuation of investments is more subjective when markets are illiquid, thereby increasing the risk that the estimated fair value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carrying amount) does not reflect prices at which actual transactions would occur.</w:t>
      </w:r>
    </w:p>
    <w:p>
      <w:pPr>
        <w:spacing w:after="0" w:line="78" w:lineRule="exact"/>
        <w:rPr>
          <w:sz w:val="20"/>
          <w:szCs w:val="20"/>
          <w:color w:val="auto"/>
        </w:rPr>
      </w:pPr>
    </w:p>
    <w:p>
      <w:pPr>
        <w:ind w:firstLine="323"/>
        <w:spacing w:after="0" w:line="264" w:lineRule="auto"/>
        <w:rPr>
          <w:sz w:val="20"/>
          <w:szCs w:val="20"/>
          <w:color w:val="auto"/>
        </w:rPr>
      </w:pPr>
      <w:r>
        <w:rPr>
          <w:rFonts w:ascii="Times New Roman" w:cs="Times New Roman" w:eastAsia="Times New Roman" w:hAnsi="Times New Roman"/>
          <w:sz w:val="18"/>
          <w:szCs w:val="18"/>
          <w:color w:val="auto"/>
        </w:rPr>
        <w:t>Risks for all types of securities are managed through application of our investment policy, which establishes investment parameters that include (but are not limited to) maximum percentages of investment in certain types of securities and minimum levels of credit quality, which we believe are within guidelines established by the NAIC and various state insurance departments, as applicable.</w:t>
      </w:r>
    </w:p>
    <w:p>
      <w:pPr>
        <w:spacing w:after="0" w:line="69" w:lineRule="exact"/>
        <w:rPr>
          <w:sz w:val="20"/>
          <w:szCs w:val="20"/>
          <w:color w:val="auto"/>
        </w:rPr>
      </w:pPr>
    </w:p>
    <w:p>
      <w:pPr>
        <w:ind w:right="80" w:firstLine="323"/>
        <w:spacing w:after="0" w:line="264" w:lineRule="auto"/>
        <w:rPr>
          <w:sz w:val="20"/>
          <w:szCs w:val="20"/>
          <w:color w:val="auto"/>
        </w:rPr>
      </w:pPr>
      <w:r>
        <w:rPr>
          <w:rFonts w:ascii="Times New Roman" w:cs="Times New Roman" w:eastAsia="Times New Roman" w:hAnsi="Times New Roman"/>
          <w:sz w:val="18"/>
          <w:szCs w:val="18"/>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additional government or market regulation which may have a material adverse impact on our business.</w:t>
      </w:r>
    </w:p>
    <w:p>
      <w:pPr>
        <w:spacing w:after="0" w:line="119" w:lineRule="exact"/>
        <w:rPr>
          <w:sz w:val="20"/>
          <w:szCs w:val="20"/>
          <w:color w:val="auto"/>
        </w:rPr>
      </w:pPr>
    </w:p>
    <w:p>
      <w:pPr>
        <w:ind w:right="140" w:firstLine="323"/>
        <w:spacing w:after="0" w:line="256" w:lineRule="auto"/>
        <w:rPr>
          <w:sz w:val="20"/>
          <w:szCs w:val="20"/>
          <w:color w:val="auto"/>
        </w:rPr>
      </w:pPr>
      <w:r>
        <w:rPr>
          <w:rFonts w:ascii="Times New Roman" w:cs="Times New Roman" w:eastAsia="Times New Roman" w:hAnsi="Times New Roman"/>
          <w:sz w:val="18"/>
          <w:szCs w:val="18"/>
          <w:color w:val="auto"/>
        </w:rPr>
        <w:t>Market disruptions like those experienced during the credit-driven financial market collapse in 2008, as well as the significant amount of capital allocated to alternative asset management, have led to increased governmental as well as self-regulatory scrutiny of the insurance industry in general. In addition, certain legislation proposing greater regulation of the industry is periodically considered by governing bodies of some jurisdictions as well as the U.S. federal government. The credit-driven financial market collapse in 2008 or other significant market disruptions may increase the likelihood that some increased regulation of the industry is mandated.</w:t>
      </w:r>
    </w:p>
    <w:p>
      <w:pPr>
        <w:spacing w:after="0" w:line="79" w:lineRule="exact"/>
        <w:rPr>
          <w:sz w:val="20"/>
          <w:szCs w:val="20"/>
          <w:color w:val="auto"/>
        </w:rPr>
      </w:pPr>
    </w:p>
    <w:p>
      <w:pPr>
        <w:ind w:right="500" w:firstLine="323"/>
        <w:spacing w:after="0" w:line="264" w:lineRule="auto"/>
        <w:rPr>
          <w:sz w:val="20"/>
          <w:szCs w:val="20"/>
          <w:color w:val="auto"/>
        </w:rPr>
      </w:pPr>
      <w:r>
        <w:rPr>
          <w:rFonts w:ascii="Times New Roman" w:cs="Times New Roman" w:eastAsia="Times New Roman" w:hAnsi="Times New Roman"/>
          <w:sz w:val="18"/>
          <w:szCs w:val="18"/>
          <w:color w:val="auto"/>
        </w:rPr>
        <w:t>Because we are a Bermuda company, we are subject to changes in Bermuda law and regulation that may have a material adverse impact on our operations, including through the imposition of tax liability or increased regulatory supervision. In addition, we will be exposed to any changes in the political environment in Bermuda.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323"/>
        <w:spacing w:after="0" w:line="251" w:lineRule="auto"/>
        <w:rPr>
          <w:sz w:val="20"/>
          <w:szCs w:val="20"/>
          <w:color w:val="auto"/>
        </w:rPr>
      </w:pPr>
      <w:r>
        <w:rPr>
          <w:rFonts w:ascii="Times New Roman" w:cs="Times New Roman" w:eastAsia="Times New Roman" w:hAnsi="Times New Roman"/>
          <w:sz w:val="18"/>
          <w:szCs w:val="18"/>
          <w:color w:val="auto"/>
        </w:rPr>
        <w:t>Our business could be materially adversely affected by changes in state laws, including those relating to asset and reserve valuation requirements, surplus requirements, limitations on investments and dividends, enterprise risk and risk-based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U.S. federal government has undertaken initiatives or considered legislation in several areas that may affect the insurance industry, including tort reform, corporate governance and the taxation of reinsurance companies. The Dodd-Frank Act also established the Federal Insurance Office, which is authorized to study, monitor and report to Congress on the insurance industry and to recommend that the FSOC designate an insurer as an entity posing risks to U.S. financial stability in the event of the insurer’s material financial distress or failure. In December 2013, the Federal Insurance Office issued a report on alternatives to modernize and improve the system of insurance regulation in the United States, including increasing national uniformity through either a federal charter or effective action by the states. Any additional regulations established as a result of the Dodd-Frank Act or actions in response to the Federal Insurance Office Report could increase our costs of compliance or lead to disciplinary action. In addition, legislation has been introduced from time to time that, if enacted, could result in the U.S. federal government assuming a more direct role in the regulation of the insurance industry, including federal licensing in addition to or in lieu of state licensing and reinsurance for natural catastrophes. We are unable to predict whether any legislation will be enacted or any regulations will be adopted, or the effect that any such developments could have on our business, financial condition or results of operations.</w:t>
      </w:r>
    </w:p>
    <w:p>
      <w:pPr>
        <w:spacing w:after="0" w:line="87" w:lineRule="exact"/>
        <w:rPr>
          <w:sz w:val="20"/>
          <w:szCs w:val="20"/>
          <w:color w:val="auto"/>
        </w:rPr>
      </w:pPr>
    </w:p>
    <w:p>
      <w:pPr>
        <w:ind w:right="80" w:firstLine="323"/>
        <w:spacing w:after="0" w:line="251" w:lineRule="auto"/>
        <w:rPr>
          <w:sz w:val="20"/>
          <w:szCs w:val="20"/>
          <w:color w:val="auto"/>
        </w:rPr>
      </w:pPr>
      <w:r>
        <w:rPr>
          <w:rFonts w:ascii="Times New Roman" w:cs="Times New Roman" w:eastAsia="Times New Roman" w:hAnsi="Times New Roman"/>
          <w:sz w:val="18"/>
          <w:szCs w:val="18"/>
          <w:color w:val="auto"/>
        </w:rPr>
        <w:t>Additionally, the regulatory environment surrounding information security and privacy is increasingly demanding. We are subject to numerous U.S. federal and state laws governing the protection of personal and confidential information of our clients and employees, and new privacy laws have been adopted or are being considered at the state and federal level that may be applicable to us. The NAIC adopted an Insurance Data Security Model Law on October 24, 2017, which requires licensed insurance entities to comply with detailed information security requirements. Most states have either adopted the NAIC Insurance Data Security Model Law or similar laws that govern the cybersecurity and data protection practices of insurers, insurance agents, and other licensed entities registered under state insurance laws. It is not yet known whether, and to what extent, additional state legislatures or insurance regulators where we operate will enact the NAIC Insurance Data Security Model Law in whole or in part, or in a modified form. Such enactments, especially if inconsistent between states or with existing laws and regulations, could raise compliance costs or increase the risk of noncompliance, with the attendant risk of being subject to regulatory enforcement actions and penalties, as well as reputational harm. Further, several states have enacted privacy laws requiring specific disclosures regarding privacy practices and granting certain rights to consumers with respect to the use by companies of their personally identifiable information. There has also been proposed privacy legislation at the federal level. These new privacy laws may impose compliance costs, and ambiguities surrounding their applicability and interpretation may increase the risk of noncompliance, with the attendant risk of being subject to regulatory enforcement actions and penalties, as well as class action litigation. Any such events could potentially have an adverse impact on our business, financial condition or results of operations.</w:t>
      </w:r>
    </w:p>
    <w:p>
      <w:pPr>
        <w:spacing w:after="0" w:line="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 addition to the complexity of existing laws and regulations, the development of new laws and regulations and changes in application or interpretation</w:t>
      </w:r>
    </w:p>
    <w:p>
      <w:pPr>
        <w:spacing w:after="0" w:line="60"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8"/>
          <w:szCs w:val="18"/>
          <w:color w:val="auto"/>
        </w:rPr>
        <w:t>of current laws and regulations also increase our legal and regulatory compliance obligations and costs. The new presidential administration has to date proposed or promulgated numerous changes to laws and regulations that may impact our business and operations, the direct or indirect effect of which are not yet known.</w:t>
      </w:r>
    </w:p>
    <w:p>
      <w:pPr>
        <w:spacing w:after="0" w:line="69" w:lineRule="exact"/>
        <w:rPr>
          <w:sz w:val="20"/>
          <w:szCs w:val="20"/>
          <w:color w:val="auto"/>
        </w:rPr>
      </w:pPr>
    </w:p>
    <w:p>
      <w:pPr>
        <w:ind w:right="600" w:firstLine="323"/>
        <w:spacing w:after="0" w:line="310" w:lineRule="auto"/>
        <w:rPr>
          <w:sz w:val="20"/>
          <w:szCs w:val="20"/>
          <w:color w:val="auto"/>
        </w:rPr>
      </w:pPr>
      <w:r>
        <w:rPr>
          <w:rFonts w:ascii="Times New Roman" w:cs="Times New Roman" w:eastAsia="Times New Roman" w:hAnsi="Times New Roman"/>
          <w:sz w:val="17"/>
          <w:szCs w:val="17"/>
          <w:color w:val="auto"/>
        </w:rPr>
        <w:t>It is impossible to predict what, if any, changes in the regulations applicable to us, the markets in which we operate, trade and invest or the counterparties with which we do business may be instituted in the future. Any such regulation could have a material adverse impact on our business.</w:t>
      </w:r>
    </w:p>
    <w:p>
      <w:pPr>
        <w:spacing w:after="0" w:line="28" w:lineRule="exact"/>
        <w:rPr>
          <w:sz w:val="20"/>
          <w:szCs w:val="20"/>
          <w:color w:val="auto"/>
        </w:rPr>
      </w:pPr>
    </w:p>
    <w:p>
      <w:pPr>
        <w:jc w:val="both"/>
        <w:ind w:right="40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which may materially adversely affect our ability to achieve our business objectives. In addition, if we fail to comply with these regulations, we may be subject to penalties, including fines and suspensions, which may materially adversely affect our financial condition and results of operations.</w:t>
      </w:r>
    </w:p>
    <w:p>
      <w:pPr>
        <w:spacing w:after="0" w:line="66" w:lineRule="exact"/>
        <w:rPr>
          <w:sz w:val="20"/>
          <w:szCs w:val="20"/>
          <w:color w:val="auto"/>
        </w:rPr>
      </w:pPr>
    </w:p>
    <w:p>
      <w:pPr>
        <w:ind w:right="60" w:firstLine="323"/>
        <w:spacing w:after="0" w:line="269" w:lineRule="auto"/>
        <w:rPr>
          <w:sz w:val="20"/>
          <w:szCs w:val="20"/>
          <w:color w:val="auto"/>
        </w:rPr>
      </w:pPr>
      <w:r>
        <w:rPr>
          <w:rFonts w:ascii="Times New Roman" w:cs="Times New Roman" w:eastAsia="Times New Roman" w:hAnsi="Times New Roman"/>
          <w:sz w:val="17"/>
          <w:szCs w:val="17"/>
          <w:color w:val="auto"/>
        </w:rPr>
        <w:t>Our admitted insurance subsidiaries are subject to extensive regulation, primarily by California (the domiciliary state for Falls Lake Fire and Casualty), Ohio (the domiciliary state for James River Insurance, James River Casualty, Stonewood Insurance and Falls Lake National), and to a lesser degree, the other jurisdictions in the United States in which we operate. Most insurance regulations are designed to protect the interests of insurance policyholders, as opposed to the interests of shareholders. These regulations generally are administered by a department of insurance in each state and relate to, among other things, authorizations to write certain lines of business, capital and surplus requirements, reserve requirements, rate and form approvals, investment and underwriting limitations, affiliate transactions, dividend limitations, cancellation and non-renewal of policies, changes in control, solvency, receipt of reinsurance credit, accounting principles and a variety of other financial and non-financial aspects of our business. These laws and regulations are regularly re-examined and any changes in these laws and regulations or new laws or interpretations thereof may be more restrictive, could make it more expensive to conduct business or otherwise materially adversely affect our financial condition or operations. State insurance departments also conduct periodic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620"/>
        <w:spacing w:after="0" w:line="259" w:lineRule="auto"/>
        <w:rPr>
          <w:sz w:val="20"/>
          <w:szCs w:val="20"/>
          <w:color w:val="auto"/>
        </w:rPr>
      </w:pPr>
      <w:r>
        <w:rPr>
          <w:rFonts w:ascii="Times New Roman" w:cs="Times New Roman" w:eastAsia="Times New Roman" w:hAnsi="Times New Roman"/>
          <w:sz w:val="18"/>
          <w:szCs w:val="18"/>
          <w:color w:val="auto"/>
        </w:rPr>
        <w:t>examinations of the affairs of insurance companies and reinsurance companies and require the filing of annual and other reports relating to financial condition, holding company issues and other matters. These regulatory requirements may impose timing and expense or other constraints that could materially adversely affect our ability to achieve some or all of our business objectives. Failure by any of our insurance subsidiaries to comply with applicable regulations could result in a requirement for that subsidiary to cease writing business.</w:t>
      </w:r>
    </w:p>
    <w:p>
      <w:pPr>
        <w:spacing w:after="0" w:line="74" w:lineRule="exact"/>
        <w:rPr>
          <w:sz w:val="20"/>
          <w:szCs w:val="20"/>
          <w:color w:val="auto"/>
        </w:rPr>
      </w:pPr>
    </w:p>
    <w:p>
      <w:pPr>
        <w:ind w:right="80" w:firstLine="323"/>
        <w:spacing w:after="0" w:line="275" w:lineRule="auto"/>
        <w:rPr>
          <w:sz w:val="20"/>
          <w:szCs w:val="20"/>
          <w:color w:val="auto"/>
        </w:rPr>
      </w:pPr>
      <w:r>
        <w:rPr>
          <w:rFonts w:ascii="Times New Roman" w:cs="Times New Roman" w:eastAsia="Times New Roman" w:hAnsi="Times New Roman"/>
          <w:sz w:val="17"/>
          <w:szCs w:val="17"/>
          <w:color w:val="auto"/>
        </w:rPr>
        <w:t>In addition, regulatory authorities have broad discretion to deny or revoke licenses for various reasons, including the violation of regulations. In some instances, where there is uncertainty as to applicability, we follow practices based on our interpretations of regulations or practices that we believe are generally followed by the industry. These practices may turn out to be different from the interpretations of regulatory authorities. If we do not have the requisite licenses and approvals or do not comply with applicable regulatory requirements, insurance regulatory authorities could preclude or temporarily suspend us from carrying on some or all of our activities or otherwise penalize us. This could materially adversely affect our ability to operate our business.</w:t>
      </w:r>
    </w:p>
    <w:p>
      <w:pPr>
        <w:spacing w:after="0" w:line="62" w:lineRule="exact"/>
        <w:rPr>
          <w:sz w:val="20"/>
          <w:szCs w:val="20"/>
          <w:color w:val="auto"/>
        </w:rPr>
      </w:pPr>
    </w:p>
    <w:p>
      <w:pPr>
        <w:ind w:right="140" w:firstLine="323"/>
        <w:spacing w:after="0" w:line="259" w:lineRule="auto"/>
        <w:rPr>
          <w:sz w:val="20"/>
          <w:szCs w:val="20"/>
          <w:color w:val="auto"/>
        </w:rPr>
      </w:pPr>
      <w:r>
        <w:rPr>
          <w:rFonts w:ascii="Times New Roman" w:cs="Times New Roman" w:eastAsia="Times New Roman" w:hAnsi="Times New Roman"/>
          <w:sz w:val="18"/>
          <w:szCs w:val="18"/>
          <w:color w:val="auto"/>
        </w:rPr>
        <w:t>The admitted market is subject to more state regulation than the E&amp;S market, particularly with regard to rate and form filing requirements, restrictions on the ability to exit lines of business, premium tax payments and membership in various state associations, such as guaranty funds. Some states have deregulated their commercial insurance markets. We cannot predict the effect that further deregulation would have on our business, financial condition or results of operations.</w:t>
      </w:r>
    </w:p>
    <w:p>
      <w:pPr>
        <w:spacing w:after="0" w:line="74" w:lineRule="exact"/>
        <w:rPr>
          <w:sz w:val="20"/>
          <w:szCs w:val="20"/>
          <w:color w:val="auto"/>
        </w:rPr>
      </w:pPr>
    </w:p>
    <w:p>
      <w:pPr>
        <w:ind w:right="80" w:firstLine="323"/>
        <w:spacing w:after="0" w:line="254" w:lineRule="auto"/>
        <w:rPr>
          <w:sz w:val="20"/>
          <w:szCs w:val="20"/>
          <w:color w:val="auto"/>
        </w:rPr>
      </w:pPr>
      <w:r>
        <w:rPr>
          <w:rFonts w:ascii="Times New Roman" w:cs="Times New Roman" w:eastAsia="Times New Roman" w:hAnsi="Times New Roman"/>
          <w:sz w:val="18"/>
          <w:szCs w:val="18"/>
          <w:color w:val="auto"/>
        </w:rPr>
        <w:t>The NAIC has developed a system to test the adequacy of statutory capital of U.S.-based insurers, known as risk-based capital or “RBC,” that many states have adopted. This system establishes the minimum amount of risk-based capital necessary for an insurer to support its overall business operations. It identifies property-casualty insurers that may be inadequately capitalized by looking at certain inherent risks of each insurer’s assets and liabilities and its mix of net written premiums. Insurers falling below a calculated threshold may be subject to varying degrees of regulatory action, including supervision, rehabilitation or liquidation. Failure to maintain adequate risk-based capital at the required levels could materially adversely affect the ability of our insurance subsidiaries to maintain regulatory authority to conduct their business. For additional information, see “Item 1. Business — U.S. Insurance Regulation — State Regulation.”</w:t>
      </w:r>
    </w:p>
    <w:p>
      <w:pPr>
        <w:spacing w:after="0" w:line="79" w:lineRule="exact"/>
        <w:rPr>
          <w:sz w:val="20"/>
          <w:szCs w:val="20"/>
          <w:color w:val="auto"/>
        </w:rPr>
      </w:pPr>
    </w:p>
    <w:p>
      <w:pPr>
        <w:ind w:firstLine="323"/>
        <w:spacing w:after="0" w:line="252" w:lineRule="auto"/>
        <w:rPr>
          <w:sz w:val="20"/>
          <w:szCs w:val="20"/>
          <w:color w:val="auto"/>
        </w:rPr>
      </w:pPr>
      <w:r>
        <w:rPr>
          <w:rFonts w:ascii="Times New Roman" w:cs="Times New Roman" w:eastAsia="Times New Roman" w:hAnsi="Times New Roman"/>
          <w:sz w:val="18"/>
          <w:szCs w:val="18"/>
          <w:color w:val="auto"/>
        </w:rPr>
        <w:t>In addition, the various state insurance regulators have increased their focus on risks within an insurer’s holding company system that may pose enterprise risk to the insurer. In 2012, the NAIC adopted the NAIC Amendments. The NAIC Amendments, when adopted by the various states, are designed to respond to perceived gaps in the regulation of insurance holding company systems in the United States. One of the major changes is a requirement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Other changes include (i) requiring a controlling person to submit prior notice to its domiciliary insurance regulator of a divestiture of control, (ii) having detailed minimum requirements for cost sharing and management agreements between an insurer and its affiliates and (iii) expanding the types of agreements between an insurer and its affiliates to be filed with its domiciliary insurance regulator. The NAIC Amendments must be adopted by a state legislature and such state’s insurance regulator in order to be effective in that state. Each of California and Ohio, the states in which our U.S. insurance subsidiaries are domiciled, adopted the NAIC Amendments, including the enterprise risk report requirement.</w:t>
      </w:r>
    </w:p>
    <w:p>
      <w:pPr>
        <w:spacing w:after="0" w:line="82" w:lineRule="exact"/>
        <w:rPr>
          <w:sz w:val="20"/>
          <w:szCs w:val="20"/>
          <w:color w:val="auto"/>
        </w:rPr>
      </w:pPr>
    </w:p>
    <w:p>
      <w:pPr>
        <w:ind w:right="200" w:firstLine="323"/>
        <w:spacing w:after="0" w:line="255" w:lineRule="auto"/>
        <w:rPr>
          <w:sz w:val="20"/>
          <w:szCs w:val="20"/>
          <w:color w:val="auto"/>
        </w:rPr>
      </w:pPr>
      <w:r>
        <w:rPr>
          <w:rFonts w:ascii="Times New Roman" w:cs="Times New Roman" w:eastAsia="Times New Roman" w:hAnsi="Times New Roman"/>
          <w:sz w:val="18"/>
          <w:szCs w:val="18"/>
          <w:color w:val="auto"/>
        </w:rPr>
        <w:t>In 2012, the NAIC also adopted the ORSA Model Act. The ORSA Model Act, when adopted by the various states, requires an insurance holding company system’s Chief Risk Officer to submit annually to its lead state insurance regulator an ORSA. The ORSA is a confidential internal assessment appropriate to the nature, scale and complexity of an insurer of the material and relevant risks identified by the insurer associated with an insurer’s current business plan and the sufficiency of capital resources to support those risks. The ORSA Model Act must be adopted by a state legislature in order to be effective in that state. Each of California and Ohio, the states in which our U.S. insurance subsidiaries are domiciled, adopted the ORSA Model Act and require an ORSA filing.</w:t>
      </w:r>
    </w:p>
    <w:p>
      <w:pPr>
        <w:spacing w:after="0" w:line="78"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We cannot predict with certainty the effect any enacted, proposed or future state or federal regulation or NAIC initiative may have on the conduct of our business. Furthermore, there can be no assurance that the regulatory requirements applicable to our business will not become more stringent in the future or result in materially higher cost than current requirements. Changes in regulation of our business may materially reduce our profitability, limit our growth or otherwise materially adversely affect our operations.</w:t>
      </w:r>
    </w:p>
    <w:p>
      <w:pPr>
        <w:spacing w:after="0" w:line="70"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Changing climate conditions may increase the frequency and severity of catastrophic events and thereby adversely affect our financial condition and results of operations.</w:t>
      </w:r>
    </w:p>
    <w:p>
      <w:pPr>
        <w:spacing w:after="0" w:line="52" w:lineRule="exact"/>
        <w:rPr>
          <w:sz w:val="20"/>
          <w:szCs w:val="20"/>
          <w:color w:val="auto"/>
        </w:rPr>
      </w:pPr>
    </w:p>
    <w:p>
      <w:pPr>
        <w:ind w:right="60" w:firstLine="323"/>
        <w:spacing w:after="0" w:line="259" w:lineRule="auto"/>
        <w:rPr>
          <w:sz w:val="20"/>
          <w:szCs w:val="20"/>
          <w:color w:val="auto"/>
        </w:rPr>
      </w:pPr>
      <w:r>
        <w:rPr>
          <w:rFonts w:ascii="Times New Roman" w:cs="Times New Roman" w:eastAsia="Times New Roman" w:hAnsi="Times New Roman"/>
          <w:sz w:val="18"/>
          <w:szCs w:val="18"/>
          <w:color w:val="auto"/>
        </w:rPr>
        <w:t>Over the past several years, changing weather patterns and climatic conditions, such as global warming, appear to have contributed to the unpredictability, frequency and severity of natural disasters and created additional uncertainty as to future trends and exposures. There is a substantial scientific opinion that global warming and other climate changes are increasing the frequency and severity of catastrophic weather and other events, such as hurricanes, fires, tornadoes, windstorms, floods and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8"/>
          <w:szCs w:val="18"/>
          <w:color w:val="auto"/>
        </w:rPr>
        <w:t>other natural disasters. Such changes make it more difficult for us to predict and model catastrophic events, reducing our ability to accurately price our exposure to such events and mitigate our risks. Any increase in the frequency or severity of natural disasters may adversely affect our financial condition and results.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losses from terrorism for which we are required by law to provide coverage.</w:t>
      </w:r>
    </w:p>
    <w:p>
      <w:pPr>
        <w:spacing w:after="0" w:line="119" w:lineRule="exact"/>
        <w:rPr>
          <w:sz w:val="20"/>
          <w:szCs w:val="20"/>
          <w:color w:val="auto"/>
        </w:rPr>
      </w:pPr>
    </w:p>
    <w:p>
      <w:pPr>
        <w:ind w:right="240" w:firstLine="323"/>
        <w:spacing w:after="0" w:line="256" w:lineRule="auto"/>
        <w:rPr>
          <w:sz w:val="20"/>
          <w:szCs w:val="20"/>
          <w:color w:val="auto"/>
        </w:rPr>
      </w:pPr>
      <w:r>
        <w:rPr>
          <w:rFonts w:ascii="Times New Roman" w:cs="Times New Roman" w:eastAsia="Times New Roman" w:hAnsi="Times New Roman"/>
          <w:sz w:val="18"/>
          <w:szCs w:val="18"/>
          <w:color w:val="auto"/>
        </w:rPr>
        <w:t>U.S. insurers are required by state and federal law to offer coverage for terrorism in certain commercial lines, including workers’ compensation. As discussed under “Item 1. Business — U.S. Insurance Regulation — Federal Regulation,” the Terrorism Acts require commercial property and casualty insurance companies to offer coverage for acts of terrorism, whether foreign or domestic, and established a federal assistance program through the end of 2027 to help cover claims related to future terrorism-related losses. The impact of any terrorist act is unpredictable, and the ultimate impact on us would depend upon the nature, extent, location and timing of such an act.</w:t>
      </w:r>
    </w:p>
    <w:p>
      <w:pPr>
        <w:spacing w:after="0" w:line="75"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or agents we have appointed, may act based on inaccurate or incomplete information regarding the accounts we underwrite, or such agents may exceed their authority or commit fraud when binding policies on our behalf.</w:t>
      </w:r>
    </w:p>
    <w:p>
      <w:pPr>
        <w:spacing w:after="0" w:line="52" w:lineRule="exact"/>
        <w:rPr>
          <w:sz w:val="20"/>
          <w:szCs w:val="20"/>
          <w:color w:val="auto"/>
        </w:rPr>
      </w:pPr>
    </w:p>
    <w:p>
      <w:pPr>
        <w:ind w:right="200" w:firstLine="323"/>
        <w:spacing w:after="0" w:line="259" w:lineRule="auto"/>
        <w:rPr>
          <w:sz w:val="20"/>
          <w:szCs w:val="20"/>
          <w:color w:val="auto"/>
        </w:rPr>
      </w:pPr>
      <w:r>
        <w:rPr>
          <w:rFonts w:ascii="Times New Roman" w:cs="Times New Roman" w:eastAsia="Times New Roman" w:hAnsi="Times New Roman"/>
          <w:sz w:val="18"/>
          <w:szCs w:val="18"/>
          <w:color w:val="auto"/>
        </w:rPr>
        <w:t>We, and our MGAs and other agents who have the ability to bind our policies, rely on information provided by insureds or their representatives when underwriting insurance policies. While we may make inquiries to validate or supplement the information provided, we may make underwriting decisions based on incorrect or incomplete information. It is possible that we will misunderstand the nature or extent of the activities or facilities and the corresponding extent of the risks that we insure because of our reliance on inadequate or inaccurate information.</w:t>
      </w:r>
    </w:p>
    <w:p>
      <w:pPr>
        <w:spacing w:after="0" w:line="74" w:lineRule="exact"/>
        <w:rPr>
          <w:sz w:val="20"/>
          <w:szCs w:val="20"/>
          <w:color w:val="auto"/>
        </w:rPr>
      </w:pPr>
    </w:p>
    <w:p>
      <w:pPr>
        <w:ind w:right="100" w:firstLine="323"/>
        <w:spacing w:after="0" w:line="256" w:lineRule="auto"/>
        <w:rPr>
          <w:sz w:val="20"/>
          <w:szCs w:val="20"/>
          <w:color w:val="auto"/>
        </w:rPr>
      </w:pPr>
      <w:r>
        <w:rPr>
          <w:rFonts w:ascii="Times New Roman" w:cs="Times New Roman" w:eastAsia="Times New Roman" w:hAnsi="Times New Roman"/>
          <w:sz w:val="18"/>
          <w:szCs w:val="18"/>
          <w:color w:val="auto"/>
        </w:rPr>
        <w:t>In addition, in the Specialty Admitted Insurance segment, MGAs and other agents have the authority to bind policies on our behalf within prescribed underwriting guidelines, and third party administrators manage and pay claims on our behalf and advise us with respect to case reserves. If any such agents exceed their authority, breach their obligations to us, fail to maintain proper licenses, have weak internal controls, or engage in fraudulent activities, our reputation could suffer, we may experience regulatory intervention, or our financial condition and results of operations could be materially adversely affected. Although we are continually monitoring these agents and administrators, our monitoring efforts may not be adequate.</w:t>
      </w:r>
    </w:p>
    <w:p>
      <w:pPr>
        <w:spacing w:after="0" w:line="7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insurance business is historically cyclical, and we may experience periods with excess underwriting capacity and unfavorable premium rates, which could materially adversely affect our business.</w:t>
      </w:r>
    </w:p>
    <w:p>
      <w:pPr>
        <w:spacing w:after="0" w:line="52" w:lineRule="exact"/>
        <w:rPr>
          <w:sz w:val="20"/>
          <w:szCs w:val="20"/>
          <w:color w:val="auto"/>
        </w:rPr>
      </w:pPr>
    </w:p>
    <w:p>
      <w:pPr>
        <w:ind w:right="220" w:firstLine="323"/>
        <w:spacing w:after="0" w:line="270" w:lineRule="auto"/>
        <w:rPr>
          <w:sz w:val="20"/>
          <w:szCs w:val="20"/>
          <w:color w:val="auto"/>
        </w:rPr>
      </w:pPr>
      <w:r>
        <w:rPr>
          <w:rFonts w:ascii="Times New Roman" w:cs="Times New Roman" w:eastAsia="Times New Roman" w:hAnsi="Times New Roman"/>
          <w:sz w:val="17"/>
          <w:szCs w:val="17"/>
          <w:color w:val="auto"/>
        </w:rPr>
        <w:t>Historically, insurers have experienced significant fluctuations in operating results due to competition, frequency and severity of catastrophic events, levels of capacity, adverse trends in litigation, regulatory constraints, general economic conditions and other factors. We have experienced these types of fluctuations since the Company’s inception. The supply of insurance is related to prevailing prices, the level of insured losses and the level of capital available to the industry that, in turn, may fluctuate in response to changes in rates of return on investments being earned in the insurance industry. As a result, the insurance business historically has been a cyclical industry characterized by periods of intense price competition due to excessive underwriting capacity as well as periods when shortages of capacity increased premium levels. Demand for insurance depends on numerous factors, including the frequency and severity of catastrophic events, levels of capacity, the introduction of new capital providers, general economic conditions and underwriting results of primary insurers. All of these factors fluctuate and may contribute to price declines generally in the insurance industry.</w:t>
      </w:r>
    </w:p>
    <w:p>
      <w:pPr>
        <w:spacing w:after="0" w:line="68" w:lineRule="exact"/>
        <w:rPr>
          <w:sz w:val="20"/>
          <w:szCs w:val="20"/>
          <w:color w:val="auto"/>
        </w:rPr>
      </w:pPr>
    </w:p>
    <w:p>
      <w:pPr>
        <w:ind w:right="180" w:firstLine="323"/>
        <w:spacing w:after="0" w:line="259" w:lineRule="auto"/>
        <w:rPr>
          <w:sz w:val="20"/>
          <w:szCs w:val="20"/>
          <w:color w:val="auto"/>
        </w:rPr>
      </w:pPr>
      <w:r>
        <w:rPr>
          <w:rFonts w:ascii="Times New Roman" w:cs="Times New Roman" w:eastAsia="Times New Roman" w:hAnsi="Times New Roman"/>
          <w:sz w:val="18"/>
          <w:szCs w:val="18"/>
          <w:color w:val="auto"/>
        </w:rPr>
        <w:t>We cannot predict with certainty whether market conditions will improve, remain constant or deteriorate. Negative market conditions may impair our ability to underwrite insurance at rates we consider appropriate and commensurate relative to the risk assumed, and we may determine to exit lines or classes of business that are affected. If we cannot underwrite insurance at appropriate rates, our ability to transact business will be materially adversely affected. Any of these factors could lead to a material adverse effect on our business, financial condition and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forced to sell investments to meet our liquidity requirements.</w:t>
      </w:r>
    </w:p>
    <w:p>
      <w:pPr>
        <w:spacing w:after="0" w:line="119" w:lineRule="exact"/>
        <w:rPr>
          <w:sz w:val="20"/>
          <w:szCs w:val="20"/>
          <w:color w:val="auto"/>
        </w:rPr>
      </w:pPr>
    </w:p>
    <w:p>
      <w:pPr>
        <w:ind w:right="100" w:firstLine="323"/>
        <w:spacing w:after="0" w:line="256" w:lineRule="auto"/>
        <w:rPr>
          <w:sz w:val="20"/>
          <w:szCs w:val="20"/>
          <w:color w:val="auto"/>
        </w:rPr>
      </w:pPr>
      <w:r>
        <w:rPr>
          <w:rFonts w:ascii="Times New Roman" w:cs="Times New Roman" w:eastAsia="Times New Roman" w:hAnsi="Times New Roman"/>
          <w:sz w:val="18"/>
          <w:szCs w:val="18"/>
          <w:color w:val="auto"/>
        </w:rPr>
        <w:t>We invest the premiums we receive from our insureds until they are needed to pay policyholder claims or until they are recognized as profits. Consequently, we seek to manage the duration of our investment portfolio based on the duration of our loss and loss adjustment expense reserves to ensure sufficient liquidity and avoid having to liquidate securities to fund claims. Risks such as inadequate loss and loss adjustment expense reserves or unfavorable trends in litigation could potentially result in the need to sell investments to fund these liabilities. Such sales could result in significant realized losses depending on the conditions of the general market, interest rates and credit issues with individual securities.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 could take excessive risks, which could negatively affect our financial condition and business.</w:t>
      </w:r>
    </w:p>
    <w:p>
      <w:pPr>
        <w:spacing w:after="0" w:line="119" w:lineRule="exact"/>
        <w:rPr>
          <w:sz w:val="20"/>
          <w:szCs w:val="20"/>
          <w:color w:val="auto"/>
        </w:rPr>
      </w:pPr>
    </w:p>
    <w:p>
      <w:pPr>
        <w:ind w:right="100" w:firstLine="323"/>
        <w:spacing w:after="0" w:line="256" w:lineRule="auto"/>
        <w:rPr>
          <w:sz w:val="20"/>
          <w:szCs w:val="20"/>
          <w:color w:val="auto"/>
        </w:rPr>
      </w:pPr>
      <w:r>
        <w:rPr>
          <w:rFonts w:ascii="Times New Roman" w:cs="Times New Roman" w:eastAsia="Times New Roman" w:hAnsi="Times New Roman"/>
          <w:sz w:val="18"/>
          <w:szCs w:val="18"/>
          <w:color w:val="auto"/>
        </w:rPr>
        <w:t>As an insurance enterprise, we are in the business of binding certain risks. The employees who conduct our business, including executive officers and other members of management, underwriters, claims professionals, and other employees, do so in part by making decisions and choices that involve exposing us to risk. These include decisions such as setting underwriting guidelines and standards, product design and pricing, determining which business opportunities to pursue, claims management decisions, and other decisions. Although we employ controls and procedures designed to monitor employees’ business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decisions and prevent us from taking excessive risks, these controls and procedures may not be effective. If our employees take excessive risks, the impact of those risks could have a material adverse effect on our financial condition and business operations.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in the future, which may not be available or available only on unfavorable terms.</w:t>
      </w:r>
    </w:p>
    <w:p>
      <w:pPr>
        <w:spacing w:after="0" w:line="119" w:lineRule="exact"/>
        <w:rPr>
          <w:sz w:val="20"/>
          <w:szCs w:val="20"/>
          <w:color w:val="auto"/>
        </w:rPr>
      </w:pPr>
    </w:p>
    <w:p>
      <w:pPr>
        <w:ind w:right="60" w:firstLine="323"/>
        <w:spacing w:after="0" w:line="255" w:lineRule="auto"/>
        <w:rPr>
          <w:sz w:val="20"/>
          <w:szCs w:val="20"/>
          <w:color w:val="auto"/>
        </w:rPr>
      </w:pPr>
      <w:r>
        <w:rPr>
          <w:rFonts w:ascii="Times New Roman" w:cs="Times New Roman" w:eastAsia="Times New Roman" w:hAnsi="Times New Roman"/>
          <w:sz w:val="18"/>
          <w:szCs w:val="18"/>
          <w:color w:val="auto"/>
        </w:rPr>
        <w:t>Our future capital requirements depend on many factors, including our ability to write new and renewal business successfully and to establish premium rates and reserves at levels sufficient to cover losses. Our ability to underwrite depends largely upon the expected quality of our claims paying process and our perceived financial strength as estimated by potential insureds, brokers, other intermediaries, independent rating agencies, and our regulators. To the extent that our existing capital is insufficient to fund our future operating requirements, cover claim losses, satisfy ratings agencies in order to maintain a satisfactory rating, or meet the capital requirements of our regulators in order to maintain our insurance licenses, we may need to raise additional capital in the future through offerings of debt, hybrid or equity securities or through suspension or reduction of dividends, or otherwise to:</w:t>
      </w:r>
    </w:p>
    <w:p>
      <w:pPr>
        <w:spacing w:after="0" w:line="78" w:lineRule="exact"/>
        <w:rPr>
          <w:sz w:val="20"/>
          <w:szCs w:val="20"/>
          <w:color w:val="auto"/>
        </w:rPr>
      </w:pPr>
    </w:p>
    <w:p>
      <w:pPr>
        <w:ind w:left="580" w:hanging="250"/>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liquidity needs caused by underwriting or investment losses;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capital lost in the event of adverse reserve developments;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letters of credit or guarantee bond requirements that may be imposed by our clients or by regulators;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rating agency or regulatory capital requirements; or</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115" w:lineRule="exact"/>
        <w:rPr>
          <w:sz w:val="20"/>
          <w:szCs w:val="20"/>
          <w:color w:val="auto"/>
        </w:rPr>
      </w:pPr>
    </w:p>
    <w:p>
      <w:pPr>
        <w:ind w:right="20" w:firstLine="323"/>
        <w:spacing w:after="0" w:line="251" w:lineRule="auto"/>
        <w:rPr>
          <w:sz w:val="20"/>
          <w:szCs w:val="20"/>
          <w:color w:val="auto"/>
        </w:rPr>
      </w:pPr>
      <w:r>
        <w:rPr>
          <w:rFonts w:ascii="Times New Roman" w:cs="Times New Roman" w:eastAsia="Times New Roman" w:hAnsi="Times New Roman"/>
          <w:sz w:val="18"/>
          <w:szCs w:val="18"/>
          <w:color w:val="auto"/>
        </w:rPr>
        <w:t>Any equity or debt financing, if available at all, may be on terms that are unfavorable to us. Further, any additional capital raised through the sale of equity could dilute shareholders’ ownership interest in the Company and would likely cause the value of our shares to decline. For example, in May 2021, we raised $192.1 million in equity capital (the “May Equity Offering”) to protect our balance sheet after experiencing $170.0 million of adverse development on our commercial auto business in the first quarter of 2021 almost entirely related to a previously canceled account that has been in run-off since 2019. In the May Equity Offering, we announced the offering of 6,497,500 shares at $31.00 per share the day after our shares had a closing market price equal to $46.50. Also, on March 1, 2022 we issued 150,000 Series A Perpetual Cumulative Convertible Preferred Shares, par value $0.00125 per share (the "Series A Preferred Shares"), for an aggregate purchase price of $150 million, primarily to protect our balance sheet after experiencing $115.0 million of adverse reserve development in our former casualty reinsurance segment in the fourth quarter of 2021. The Series A Preferred Shares, among other things, have the right to receive a payment on account of the distribution of assets on any voluntary or involuntary liquidation, dissolution or winding up of the affairs of the Company before any payment may be made to holders of any other class or series of capital shares, pay dividends to the security holders at the initial rate of 7% of their liquidation preference of $1,000 per share per annum, include restrictions that may limit our ability to pay dividends to common shareholders and may not be redeemed at our election. See the Risk Factors "</w:t>
      </w:r>
      <w:r>
        <w:rPr>
          <w:rFonts w:ascii="Times New Roman" w:cs="Times New Roman" w:eastAsia="Times New Roman" w:hAnsi="Times New Roman"/>
          <w:sz w:val="18"/>
          <w:szCs w:val="18"/>
          <w:i w:val="1"/>
          <w:iCs w:val="1"/>
          <w:color w:val="auto"/>
        </w:rPr>
        <w:t>The Series A Preferred Shares have rights, preferences and privileges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that are not held by, and are preferential to the rights of, our common shareholders, which could adversely affect our liquidity and financial condition"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amount of dividends that we may pay to our common shareholders is subject to restrictions pursuant to the terms of the Series A Preferred Shares,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cannot assure you that we will declare or pay dividends on our common shares in the future."</w:t>
      </w:r>
    </w:p>
    <w:p>
      <w:pPr>
        <w:spacing w:after="0" w:line="85" w:lineRule="exact"/>
        <w:rPr>
          <w:sz w:val="20"/>
          <w:szCs w:val="20"/>
          <w:color w:val="auto"/>
        </w:rPr>
      </w:pPr>
    </w:p>
    <w:p>
      <w:pPr>
        <w:ind w:right="120" w:firstLine="323"/>
        <w:spacing w:after="0" w:line="255" w:lineRule="auto"/>
        <w:rPr>
          <w:sz w:val="20"/>
          <w:szCs w:val="20"/>
          <w:color w:val="auto"/>
        </w:rPr>
      </w:pPr>
      <w:r>
        <w:rPr>
          <w:rFonts w:ascii="Times New Roman" w:cs="Times New Roman" w:eastAsia="Times New Roman" w:hAnsi="Times New Roman"/>
          <w:sz w:val="18"/>
          <w:szCs w:val="18"/>
          <w:color w:val="auto"/>
        </w:rPr>
        <w:t>Additionally, on November 11, 2024 we entered into (i) an amendment of the investment agreement with the holder of the Series A Preferred Shares, which provided for the conversion of 37,500 Series A Preferred Shares, having a liquidation value of $37.5 million, into common shares, and (ii) a subscription agreement to issue common shares with a value of $12.5 million. The price per share utilized for the share issuances pursuant to the two agreements was $6.40, resulting in the issuance of 7,812,500 common shares in the aggregate. The closing price of our common shares on November 11, 2024, the last completed trading day prior to our announcement of the share issuances was $6.62 per share. We also announced on November 11, 2024 that our quarterly dividend would be reduced to $0.01 per common shares from the $0.05 per common share that we had paid since March 2022.</w:t>
      </w:r>
    </w:p>
    <w:p>
      <w:pPr>
        <w:spacing w:after="0" w:line="78" w:lineRule="exact"/>
        <w:rPr>
          <w:sz w:val="20"/>
          <w:szCs w:val="20"/>
          <w:color w:val="auto"/>
        </w:rPr>
      </w:pPr>
    </w:p>
    <w:p>
      <w:pPr>
        <w:ind w:firstLine="323"/>
        <w:spacing w:after="0" w:line="254" w:lineRule="auto"/>
        <w:rPr>
          <w:sz w:val="20"/>
          <w:szCs w:val="20"/>
          <w:color w:val="auto"/>
        </w:rPr>
      </w:pPr>
      <w:r>
        <w:rPr>
          <w:rFonts w:ascii="Times New Roman" w:cs="Times New Roman" w:eastAsia="Times New Roman" w:hAnsi="Times New Roman"/>
          <w:sz w:val="18"/>
          <w:szCs w:val="18"/>
          <w:color w:val="auto"/>
        </w:rPr>
        <w:t>Further, our ability to raise debt and certain types of equity capital may be constrained by covenants in our existing credit facility. See the Risk Factor “</w:t>
      </w:r>
      <w:r>
        <w:rPr>
          <w:rFonts w:ascii="Times New Roman" w:cs="Times New Roman" w:eastAsia="Times New Roman" w:hAnsi="Times New Roman"/>
          <w:sz w:val="18"/>
          <w:szCs w:val="18"/>
          <w:i w:val="1"/>
          <w:iCs w:val="1"/>
          <w:color w:val="auto"/>
        </w:rPr>
        <w:t>Our credit agreement contains financial and other covenants, the breach of which could result in acceleration of payment of amounts due under our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facility</w:t>
      </w:r>
      <w:r>
        <w:rPr>
          <w:rFonts w:ascii="Times New Roman" w:cs="Times New Roman" w:eastAsia="Times New Roman" w:hAnsi="Times New Roman"/>
          <w:sz w:val="18"/>
          <w:szCs w:val="18"/>
          <w:color w:val="auto"/>
        </w:rPr>
        <w:t>” below. Additional capital raised through the issuance of debt would most likely result in creditors having rights, preferences and privileges senior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superior to those of our shareholders and may limit our flexibility in operating our business and make it more difficult to obtain capital in the future. Disruptions, uncertainty, or volatility in the capital and credit markets may also limit our access to capital required to operate our business. If we are not able to obtain adequate capital, or obtain it on favorable terms, our business, financial condition and results of operations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contains financial and other covenants, the breach of any of which could result in acceleration of payment of amounts due under our credit facility</w:t>
      </w:r>
      <w:r>
        <w:rPr>
          <w:rFonts w:ascii="Times New Roman" w:cs="Times New Roman" w:eastAsia="Times New Roman" w:hAnsi="Times New Roman"/>
          <w:sz w:val="18"/>
          <w:szCs w:val="18"/>
          <w:b w:val="1"/>
          <w:bCs w:val="1"/>
          <w:color w:val="auto"/>
        </w:rPr>
        <w:t>.</w:t>
      </w:r>
    </w:p>
    <w:p>
      <w:pPr>
        <w:spacing w:after="0" w:line="52" w:lineRule="exact"/>
        <w:rPr>
          <w:sz w:val="20"/>
          <w:szCs w:val="20"/>
          <w:color w:val="auto"/>
        </w:rPr>
      </w:pPr>
    </w:p>
    <w:p>
      <w:pPr>
        <w:ind w:right="20" w:firstLine="323"/>
        <w:spacing w:after="0" w:line="254" w:lineRule="auto"/>
        <w:rPr>
          <w:sz w:val="20"/>
          <w:szCs w:val="20"/>
          <w:color w:val="auto"/>
        </w:rPr>
      </w:pPr>
      <w:r>
        <w:rPr>
          <w:rFonts w:ascii="Times New Roman" w:cs="Times New Roman" w:eastAsia="Times New Roman" w:hAnsi="Times New Roman"/>
          <w:sz w:val="18"/>
          <w:szCs w:val="18"/>
          <w:color w:val="auto"/>
        </w:rPr>
        <w:t>As of December 31, 2024, we had an outstanding unsecured balance of approximately $185.8 million in the aggregate under our bank credit agreement. The agreement contains certain financial covenants that require us to maintain consolidated net worth in excess of a specified minimum amount and a leverage ratio as of the end of any fiscal quarter not in excess of 0.35 to 1. The agreement contains other covenants which, among other things, require ongoing compliance with applicable insurance regulations and require each of our regulated insurance subsidiaries to maintain ratings from A.M. Best not lower than an A-. Breaches of any of the covenants could result in acceleration of our obligations to repay our outstanding indebtedness under such agreement if we are unable to obtain a waiver or amendment from our lender, and otherwise could impair our ability to borrow funds or result in higher borrowing costs.</w:t>
      </w:r>
    </w:p>
    <w:p>
      <w:pPr>
        <w:spacing w:after="0" w:line="75"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environment and we may not continue to be able to compete effectively against larger or more well-established business rivals.</w:t>
      </w:r>
    </w:p>
    <w:p>
      <w:pPr>
        <w:spacing w:after="0" w:line="52" w:lineRule="exact"/>
        <w:rPr>
          <w:sz w:val="20"/>
          <w:szCs w:val="20"/>
          <w:color w:val="auto"/>
        </w:rPr>
      </w:pPr>
    </w:p>
    <w:p>
      <w:pPr>
        <w:ind w:right="40" w:firstLine="323"/>
        <w:spacing w:after="0" w:line="279" w:lineRule="auto"/>
        <w:rPr>
          <w:sz w:val="20"/>
          <w:szCs w:val="20"/>
          <w:color w:val="auto"/>
        </w:rPr>
      </w:pPr>
      <w:r>
        <w:rPr>
          <w:rFonts w:ascii="Times New Roman" w:cs="Times New Roman" w:eastAsia="Times New Roman" w:hAnsi="Times New Roman"/>
          <w:sz w:val="17"/>
          <w:szCs w:val="17"/>
          <w:color w:val="auto"/>
        </w:rPr>
        <w:t>We face competition from other specialty insurance companies, standard insurance companies and underwriting agencies, as well as from diversified financial services companies that are larger than we are and that have greater financial, marketing and other resources than we do. Some of these competitors also have longer experience and more market recognition than we do in certain lines of business. In addition, it may be difficult or prohibitively expensive for us to implement technology systems and processes that are competitive with the systems and processes of these larger companies.</w:t>
      </w:r>
    </w:p>
    <w:p>
      <w:pPr>
        <w:spacing w:after="0" w:line="58" w:lineRule="exact"/>
        <w:rPr>
          <w:sz w:val="20"/>
          <w:szCs w:val="20"/>
          <w:color w:val="auto"/>
        </w:rPr>
      </w:pPr>
    </w:p>
    <w:p>
      <w:pPr>
        <w:ind w:right="40" w:firstLine="323"/>
        <w:spacing w:after="0" w:line="259" w:lineRule="auto"/>
        <w:rPr>
          <w:sz w:val="20"/>
          <w:szCs w:val="20"/>
          <w:color w:val="auto"/>
        </w:rPr>
      </w:pPr>
      <w:r>
        <w:rPr>
          <w:rFonts w:ascii="Times New Roman" w:cs="Times New Roman" w:eastAsia="Times New Roman" w:hAnsi="Times New Roman"/>
          <w:sz w:val="18"/>
          <w:szCs w:val="18"/>
          <w:color w:val="auto"/>
        </w:rPr>
        <w:t>In particular, competition in the 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reputation, and the experience and reputation of the members of our underwriting team in the particular lines of insurance we seek to underwrite. See also “Item 1. Business — Competition.”</w:t>
      </w:r>
    </w:p>
    <w:p>
      <w:pPr>
        <w:spacing w:after="0" w:line="74" w:lineRule="exact"/>
        <w:rPr>
          <w:sz w:val="20"/>
          <w:szCs w:val="20"/>
          <w:color w:val="auto"/>
        </w:rPr>
      </w:pPr>
    </w:p>
    <w:p>
      <w:pPr>
        <w:ind w:right="260" w:firstLine="323"/>
        <w:spacing w:after="0" w:line="280" w:lineRule="auto"/>
        <w:rPr>
          <w:sz w:val="20"/>
          <w:szCs w:val="20"/>
          <w:color w:val="auto"/>
        </w:rPr>
      </w:pPr>
      <w:r>
        <w:rPr>
          <w:rFonts w:ascii="Times New Roman" w:cs="Times New Roman" w:eastAsia="Times New Roman" w:hAnsi="Times New Roman"/>
          <w:sz w:val="18"/>
          <w:szCs w:val="18"/>
          <w:color w:val="auto"/>
        </w:rPr>
        <w:t>A number of new, proposed or potential legislative or industry developments could further increase competition in our industry. These developments include:</w:t>
      </w:r>
    </w:p>
    <w:p>
      <w:pPr>
        <w:spacing w:after="0" w:line="55" w:lineRule="exact"/>
        <w:rPr>
          <w:sz w:val="20"/>
          <w:szCs w:val="20"/>
          <w:color w:val="auto"/>
        </w:rPr>
      </w:pPr>
    </w:p>
    <w:p>
      <w:pPr>
        <w:ind w:left="660" w:right="20" w:hanging="330"/>
        <w:spacing w:after="0" w:line="280" w:lineRule="auto"/>
        <w:tabs>
          <w:tab w:leader="none" w:pos="5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capital-raising by companies in our lines of business, which has resulted in new entrants to our markets and an excess of capital in the industry;</w:t>
      </w:r>
    </w:p>
    <w:p>
      <w:pPr>
        <w:spacing w:after="0" w:line="54" w:lineRule="exact"/>
        <w:rPr>
          <w:rFonts w:ascii="Times New Roman" w:cs="Times New Roman" w:eastAsia="Times New Roman" w:hAnsi="Times New Roman"/>
          <w:sz w:val="18"/>
          <w:szCs w:val="18"/>
          <w:color w:val="auto"/>
        </w:rPr>
      </w:pPr>
    </w:p>
    <w:p>
      <w:pPr>
        <w:ind w:left="660" w:right="360" w:hanging="330"/>
        <w:spacing w:after="0" w:line="280" w:lineRule="auto"/>
        <w:tabs>
          <w:tab w:leader="none" w:pos="57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deregulation of commercial insurance lines in certain states and the possibility of federal regulatory reform of the insurance industry, which could increase competition from standard carriers for our E&amp;S lines of insurance business; and</w:t>
      </w:r>
    </w:p>
    <w:p>
      <w:pPr>
        <w:spacing w:after="0" w:line="54" w:lineRule="exact"/>
        <w:rPr>
          <w:rFonts w:ascii="Times New Roman" w:cs="Times New Roman" w:eastAsia="Times New Roman" w:hAnsi="Times New Roman"/>
          <w:sz w:val="18"/>
          <w:szCs w:val="18"/>
          <w:color w:val="auto"/>
        </w:rPr>
      </w:pPr>
    </w:p>
    <w:p>
      <w:pPr>
        <w:ind w:left="660" w:hanging="330"/>
        <w:spacing w:after="0" w:line="280" w:lineRule="auto"/>
        <w:tabs>
          <w:tab w:leader="none" w:pos="57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practices facilitated by the Internet may lead to greater competition in the insurance business. Among the possible changes are shifts in the way in which commercial insurance is purchased, which could affect both admitted and E&amp;S lines.</w:t>
      </w:r>
    </w:p>
    <w:p>
      <w:pPr>
        <w:spacing w:after="0" w:line="55" w:lineRule="exact"/>
        <w:rPr>
          <w:sz w:val="20"/>
          <w:szCs w:val="20"/>
          <w:color w:val="auto"/>
        </w:rPr>
      </w:pPr>
    </w:p>
    <w:p>
      <w:pPr>
        <w:ind w:right="220" w:firstLine="323"/>
        <w:spacing w:after="0" w:line="264" w:lineRule="auto"/>
        <w:rPr>
          <w:sz w:val="20"/>
          <w:szCs w:val="20"/>
          <w:color w:val="auto"/>
        </w:rPr>
      </w:pPr>
      <w:r>
        <w:rPr>
          <w:rFonts w:ascii="Times New Roman" w:cs="Times New Roman" w:eastAsia="Times New Roman" w:hAnsi="Times New Roman"/>
          <w:sz w:val="18"/>
          <w:szCs w:val="18"/>
          <w:color w:val="auto"/>
        </w:rPr>
        <w:t>We currently depend largely on the wholesale distribution model for our Excess and Surplus Lines segment’s premiums. If the wholesale distribution model were to be significantly altered by changes in the way E&amp;S lines risks are marketed, including, without limitation, through use of the internet, it could have a material adverse effect on our premiums, underwriting results and profits.</w:t>
      </w:r>
    </w:p>
    <w:p>
      <w:pPr>
        <w:spacing w:after="0" w:line="69" w:lineRule="exact"/>
        <w:rPr>
          <w:sz w:val="20"/>
          <w:szCs w:val="20"/>
          <w:color w:val="auto"/>
        </w:rPr>
      </w:pPr>
    </w:p>
    <w:p>
      <w:pPr>
        <w:ind w:right="40" w:firstLine="323"/>
        <w:spacing w:after="0" w:line="259" w:lineRule="auto"/>
        <w:rPr>
          <w:sz w:val="20"/>
          <w:szCs w:val="20"/>
          <w:color w:val="auto"/>
        </w:rPr>
      </w:pPr>
      <w:r>
        <w:rPr>
          <w:rFonts w:ascii="Times New Roman" w:cs="Times New Roman" w:eastAsia="Times New Roman" w:hAnsi="Times New Roman"/>
          <w:sz w:val="18"/>
          <w:szCs w:val="18"/>
          <w:color w:val="auto"/>
        </w:rPr>
        <w:t>There is no assurance that we will be able to continue to compete successfully in the insurance market. Increased competition in the market could result in a change in the supply and/or demand for insurance, affect our ability to price our products at risk-adequate rates, affect our ability to retain business with existing customers, or underwrite new business on favorable terms. If this increased competition so limits our ability to transact business, our operating results could be materially adversely affected.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keep pace with the technological advancements in the insurance industry, our ability to compete effectively could be impaired.</w:t>
      </w:r>
    </w:p>
    <w:p>
      <w:pPr>
        <w:spacing w:after="0" w:line="119" w:lineRule="exact"/>
        <w:rPr>
          <w:sz w:val="20"/>
          <w:szCs w:val="20"/>
          <w:color w:val="auto"/>
        </w:rPr>
      </w:pPr>
    </w:p>
    <w:p>
      <w:pPr>
        <w:ind w:firstLine="323"/>
        <w:spacing w:after="0" w:line="254" w:lineRule="auto"/>
        <w:rPr>
          <w:sz w:val="20"/>
          <w:szCs w:val="20"/>
          <w:color w:val="auto"/>
        </w:rPr>
      </w:pPr>
      <w:r>
        <w:rPr>
          <w:rFonts w:ascii="Times New Roman" w:cs="Times New Roman" w:eastAsia="Times New Roman" w:hAnsi="Times New Roman"/>
          <w:sz w:val="18"/>
          <w:szCs w:val="18"/>
          <w:color w:val="auto"/>
        </w:rPr>
        <w:t>We are committed to developing and maintaining information technology systems and data analytics that will allow our insurance subsidiaries to compete effectively. There can be no assurance that the development of current technology or data analytics for future use will not result in our being competitively disadvantaged, especially with those carriers that have greater resources. If we are unable to keep pace with the advancements being made in technology and data analytics (including the use of artificial intelligence to create efficiencies in the conduct of our business), our ability to compete with other insurance companies who have advanced technological or data analytics capabilities will be negatively affected. Further, if we are unable to effectively execute and update or replace our key legacy technology systems as they become obsolete or as emerging technology renders them competitively inefficient, our competitive position and our cost structure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actual renewals of our existing contracts do not meet expectations, our premiums written in future years and our future results of operations could be materially adversely affected.</w:t>
      </w:r>
    </w:p>
    <w:p>
      <w:pPr>
        <w:spacing w:after="0" w:line="52" w:lineRule="exact"/>
        <w:rPr>
          <w:sz w:val="20"/>
          <w:szCs w:val="20"/>
          <w:color w:val="auto"/>
        </w:rPr>
      </w:pPr>
    </w:p>
    <w:p>
      <w:pPr>
        <w:ind w:firstLine="323"/>
        <w:spacing w:after="0" w:line="259" w:lineRule="auto"/>
        <w:rPr>
          <w:sz w:val="20"/>
          <w:szCs w:val="20"/>
          <w:color w:val="auto"/>
        </w:rPr>
      </w:pPr>
      <w:r>
        <w:rPr>
          <w:rFonts w:ascii="Times New Roman" w:cs="Times New Roman" w:eastAsia="Times New Roman" w:hAnsi="Times New Roman"/>
          <w:sz w:val="18"/>
          <w:szCs w:val="18"/>
          <w:color w:val="auto"/>
        </w:rPr>
        <w:t>Most of our contracts are written for a one-year term. In our financial forecasting process, we make assumptions about the renewal of our prior year’s contracts. The insurance industry has historically been a cyclical business with intense competition, often based on price. If actual renewals do not meet expectations or if we choose not to write a renewal (including in connection with the early termination of insurance policies), our premiums written in future years and our future operations could be materially adversely affected.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change our underwriting guidelines or our strategy without shareholder approval.</w:t>
      </w:r>
    </w:p>
    <w:p>
      <w:pPr>
        <w:spacing w:after="0" w:line="119" w:lineRule="exact"/>
        <w:rPr>
          <w:sz w:val="20"/>
          <w:szCs w:val="20"/>
          <w:color w:val="auto"/>
        </w:rPr>
      </w:pPr>
    </w:p>
    <w:p>
      <w:pPr>
        <w:jc w:val="both"/>
        <w:ind w:right="200" w:firstLine="323"/>
        <w:spacing w:after="0" w:line="259" w:lineRule="auto"/>
        <w:rPr>
          <w:sz w:val="20"/>
          <w:szCs w:val="20"/>
          <w:color w:val="auto"/>
        </w:rPr>
      </w:pPr>
      <w:r>
        <w:rPr>
          <w:rFonts w:ascii="Times New Roman" w:cs="Times New Roman" w:eastAsia="Times New Roman" w:hAnsi="Times New Roman"/>
          <w:sz w:val="18"/>
          <w:szCs w:val="18"/>
          <w:color w:val="auto"/>
        </w:rPr>
        <w:t>Our management has the authority to change our underwriting guidelines or our strategy without notice to our shareholders and without shareholder approval. As a result, we may make fundamental changes to our operations without shareholder approval, which could result in our pursuing a strategy or implementing underwriting guidelines that may be materially different from the strategy or underwriting guidelines described in the section titled “Item 1. Business” or elsewhere in this Annual Report.</w:t>
      </w:r>
    </w:p>
    <w:p>
      <w:pPr>
        <w:spacing w:after="0" w:line="70"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California, Ohio or any other state in which our insurance companies are admitted significantly increases the assessments our insurance companies are required to pay, our financial condition and results of operations will suffer.</w:t>
      </w:r>
    </w:p>
    <w:p>
      <w:pPr>
        <w:spacing w:after="0" w:line="52" w:lineRule="exact"/>
        <w:rPr>
          <w:sz w:val="20"/>
          <w:szCs w:val="20"/>
          <w:color w:val="auto"/>
        </w:rPr>
      </w:pPr>
    </w:p>
    <w:p>
      <w:pPr>
        <w:ind w:right="20" w:firstLine="323"/>
        <w:spacing w:after="0" w:line="253" w:lineRule="auto"/>
        <w:rPr>
          <w:sz w:val="20"/>
          <w:szCs w:val="20"/>
          <w:color w:val="auto"/>
        </w:rPr>
      </w:pPr>
      <w:r>
        <w:rPr>
          <w:rFonts w:ascii="Times New Roman" w:cs="Times New Roman" w:eastAsia="Times New Roman" w:hAnsi="Times New Roman"/>
          <w:sz w:val="18"/>
          <w:szCs w:val="18"/>
          <w:color w:val="auto"/>
        </w:rPr>
        <w:t>Our insurance companies are subject to assessments in California (the domiciliary state for Falls Lake Fire and Casualty), Ohio (the domiciliary state for James River Insurance, James River Casualty, Stonewood Insurance and Falls Lake National) and other states in which our insurance companies may be admitted, for various purposes, including the provision of funds necessary to fund the operations of the various insurance departments and the state funds that pay covered claims under certain policies written by impaired, insolvent or failed insurance companies. These assessments are generally set based on an insurer’s percentage of the total premiums written in the insurer’s state within a particular line of business. As our insurance subsidiaries grow, our share of any assessments may increase. We cannot predict with certainty the amount of future assessments because they depend on factors outside our control, such as insolvencies of other insurance companies. Significant assessments could result in higher than expected operating expenses and have a material adverse effect on our financial condition or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third-party claims administrators in certain lines of business may result in higher losses and loss adjustment expenses.</w:t>
      </w:r>
    </w:p>
    <w:p>
      <w:pPr>
        <w:spacing w:after="0" w:line="119" w:lineRule="exact"/>
        <w:rPr>
          <w:sz w:val="20"/>
          <w:szCs w:val="20"/>
          <w:color w:val="auto"/>
        </w:rPr>
      </w:pPr>
    </w:p>
    <w:p>
      <w:pPr>
        <w:ind w:firstLine="323"/>
        <w:spacing w:after="0" w:line="259" w:lineRule="auto"/>
        <w:rPr>
          <w:sz w:val="20"/>
          <w:szCs w:val="20"/>
          <w:color w:val="auto"/>
        </w:rPr>
      </w:pPr>
      <w:r>
        <w:rPr>
          <w:rFonts w:ascii="Times New Roman" w:cs="Times New Roman" w:eastAsia="Times New Roman" w:hAnsi="Times New Roman"/>
          <w:sz w:val="18"/>
          <w:szCs w:val="18"/>
          <w:color w:val="auto"/>
        </w:rPr>
        <w:t>Historically, our Excess and Surplus Lines and Specialty Admitted Insurance segments handled all claims using employed staff. As we have entered new lines of business, we now use third-party claims administrators and contract employees to administer claims subject to the supervision of our employed staff. It is possible that these contract employees and third-party claims administrators may achieve less desirable results on claims than has historically been the case for our internal staff, which could result in significantly higher losses and loss adjustment expenses in those lines of business.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have a significant impact on the Company.</w:t>
      </w:r>
    </w:p>
    <w:p>
      <w:pPr>
        <w:spacing w:after="0" w:line="119" w:lineRule="exact"/>
        <w:rPr>
          <w:sz w:val="20"/>
          <w:szCs w:val="20"/>
          <w:color w:val="auto"/>
        </w:rPr>
      </w:pPr>
    </w:p>
    <w:p>
      <w:pPr>
        <w:ind w:right="40" w:firstLine="323"/>
        <w:spacing w:after="0" w:line="267" w:lineRule="auto"/>
        <w:rPr>
          <w:sz w:val="20"/>
          <w:szCs w:val="20"/>
          <w:color w:val="auto"/>
        </w:rPr>
      </w:pPr>
      <w:r>
        <w:rPr>
          <w:rFonts w:ascii="Times New Roman" w:cs="Times New Roman" w:eastAsia="Times New Roman" w:hAnsi="Times New Roman"/>
          <w:sz w:val="17"/>
          <w:szCs w:val="17"/>
          <w:color w:val="auto"/>
        </w:rPr>
        <w:t>In recent years, the Organization for Economic Co-operation and Development (“OECD”), with the support of the G20, has developed proposals to address perceived base erosion and profit shifting (“BEPS”). BEPS generally refers to tax planning strategies that exploit gaps and mismatches in tax rules to artificially shift profits to locations with low or no tax and little or no economic activity, for the purpose of reducing a multinational group’s aggregate tax liability. In 2021, the OECD/G20 Inclusive Framework on BEPS published a statement updating and finalizing the key components of a “two pillar” plan for global tax reform, as agreed among a number of countries across the globe. Pillar I addresses tax nexus and the allocation of profits for tax purposes. Under Pillar II, a global minimum tax at the rate of 15% would be imposed on certain companies whose revenues exceed a threshold. In December 2022, the member states of the European Union unanimously voted to adopt the OECD’s minimum tax rules and phase them into national law, and in February 2023 the OECD released technical guidance on the global minimum tax which was agreed by consensus of the BEPS 2.0 (Pillars I and II) signatory jurisdictions. Under the European Union’s minimum tax directive, member states are to adopt domestic legislation implementing the minimum tax rules effective for periods beginning on or after December 31, 2023, with the “under-taxed profit rule” to take effect for periods beginning on or after December 31, 2024. Legislatures in multiple countries outside of the European Union have also drafted legislation to implement the OECD’s minimum tax proposal. As a result of these developments, the tax laws of certain countries in which we and our affiliates do business could change on a prospective or retroactive basis, and any such changes, including the adoption of the global minimum tax rules, could subject us to additional taxes and costs for tax compliance.</w:t>
      </w:r>
    </w:p>
    <w:p>
      <w:pPr>
        <w:spacing w:after="0" w:line="75" w:lineRule="exact"/>
        <w:rPr>
          <w:sz w:val="20"/>
          <w:szCs w:val="20"/>
          <w:color w:val="auto"/>
        </w:rPr>
      </w:pPr>
    </w:p>
    <w:p>
      <w:pPr>
        <w:jc w:val="both"/>
        <w:ind w:right="260" w:firstLine="323"/>
        <w:spacing w:after="0" w:line="264" w:lineRule="auto"/>
        <w:rPr>
          <w:sz w:val="20"/>
          <w:szCs w:val="20"/>
          <w:color w:val="auto"/>
        </w:rPr>
      </w:pPr>
      <w:r>
        <w:rPr>
          <w:rFonts w:ascii="Times New Roman" w:cs="Times New Roman" w:eastAsia="Times New Roman" w:hAnsi="Times New Roman"/>
          <w:sz w:val="18"/>
          <w:szCs w:val="18"/>
          <w:color w:val="auto"/>
        </w:rPr>
        <w:t>More broadly, our tax positions could be materially adversely affected by several factors, including: new or changing tax laws both domestically and internationally, including regulations and treaties, or the interpretation thereof, tax policy initiatives and reforms under consideration by the international community, the practices of tax authorities in jurisdictions in which we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color w:val="auto"/>
        </w:rPr>
        <w:t>operate, and the resolution of issues arising from tax audits, examinations or assessments and any related interest or penalties. We are currently unable to predict whether such changes or events will occur and, if so, the ultimate impact on our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and James River Group Holdings UK Limited may be subject to U.S. federal income taxation.</w:t>
      </w:r>
    </w:p>
    <w:p>
      <w:pPr>
        <w:spacing w:after="0" w:line="119" w:lineRule="exact"/>
        <w:rPr>
          <w:sz w:val="20"/>
          <w:szCs w:val="20"/>
          <w:color w:val="auto"/>
        </w:rPr>
      </w:pPr>
    </w:p>
    <w:p>
      <w:pPr>
        <w:ind w:right="40" w:firstLine="323"/>
        <w:spacing w:after="0" w:line="251" w:lineRule="auto"/>
        <w:rPr>
          <w:sz w:val="20"/>
          <w:szCs w:val="20"/>
          <w:color w:val="auto"/>
        </w:rPr>
      </w:pPr>
      <w:r>
        <w:rPr>
          <w:rFonts w:ascii="Times New Roman" w:cs="Times New Roman" w:eastAsia="Times New Roman" w:hAnsi="Times New Roman"/>
          <w:sz w:val="18"/>
          <w:szCs w:val="18"/>
          <w:color w:val="auto"/>
        </w:rPr>
        <w:t>The Company is incorporated under the laws of Bermuda and James River UK is incorporated under the laws of England and Wales. JRG Re was incorporated under the laws of Bermuda prior to its sale by the Company. In general, a corporation organized under the laws of a foreign country or U.S. possession is subject to U.S. federal income tax on its net income only if it is considered as engaged in a U.S. trade or business. We believe that the activities of each of the Company’s non-U.S. holding companies and the historic activities of JRG Re, prior to its disposition, as contemplated, will not cause them to be treated as engaging in a U.S. trade or business and as such, will not be subject to current U.S. federal income taxation on their net income. However, there are no definitive standards provided by the Internal Revenue Code of 1986, as amended (the “Code”), regulations or court decisions as to the specific activities that constitute being engaged in the conduct of a trade or business within the United States, and any such determination is essentially factual in nature and must be made annually. The IRS could assert that (1) our non-U.S. holding companies are engaged in a trade or business in the United States or, under the applicable income tax treaty, are engaged in a trade or business in the United States through a permanent establishment, and thus are subject to current U.S. federal income taxation, or (2) JRG Re, prior to its disposition, was engaged in a trade or business in the United States or, under the applicable income tax treaty, was engaged in a trade or business in the United States through a permanent establishment, and thus was subject to current U.S. federal income taxation. If our non-U.S. holding companies or JRG Re, prior to its disposition, were deemed to be engaged in a trade or business in the United States (or, under the applicable income tax treaty, were deemed to be so engaged through a permanent establishment), our non-U.S. holding companies or JRG Re, prior to its disposition, as applicable, would become subject to U.S. federal income tax on income “effectively connected” (or treated as effectively connected) with the U.S. trade or business and would become subject to the “branch profits” tax on earnings and profits that are both effectively connected with the U.S. trade or business and deemed repatriated out of the United States. Any such federal tax liability could materially adversely affect our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tax-exempt organizations who own our shares may recognize unrelated business taxable income.</w:t>
      </w:r>
    </w:p>
    <w:p>
      <w:pPr>
        <w:spacing w:after="0" w:line="119" w:lineRule="exact"/>
        <w:rPr>
          <w:sz w:val="20"/>
          <w:szCs w:val="20"/>
          <w:color w:val="auto"/>
        </w:rPr>
      </w:pPr>
    </w:p>
    <w:p>
      <w:pPr>
        <w:ind w:right="160" w:firstLine="323"/>
        <w:spacing w:after="0" w:line="255" w:lineRule="auto"/>
        <w:rPr>
          <w:sz w:val="20"/>
          <w:szCs w:val="20"/>
          <w:color w:val="auto"/>
        </w:rPr>
      </w:pPr>
      <w:r>
        <w:rPr>
          <w:rFonts w:ascii="Times New Roman" w:cs="Times New Roman" w:eastAsia="Times New Roman" w:hAnsi="Times New Roman"/>
          <w:sz w:val="18"/>
          <w:szCs w:val="18"/>
          <w:color w:val="auto"/>
        </w:rPr>
        <w:t>A U.S. tax-exempt organization may recognize unrelated business taxable income if a portion of any subpart F insurance income we may have is allocated to it. In general, subpart F insurance income will be allocated to a tax-exempt organization owning (or treated as owning) our shares if we are a CFC (as defined below) and it is a U.S. 10% Shareholder (as defined below) or we earn related person insurance income and we satisfy the RPII Test (as defined below). We cannot assure you that U.S. persons holding our shares (directly or indirectly) will not be allocated subpart F insurance income. U.S. tax-exempt organizations should consult their own tax advisors regarding the risk of recognizing unrelated business taxable income due to their ownership of our shares.</w:t>
      </w:r>
    </w:p>
    <w:p>
      <w:pPr>
        <w:spacing w:after="0" w:line="74"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U.S. withholding and information reporting requirements under the Foreign Account Tax Compliance Act (“FATCA”) provisions.</w:t>
      </w:r>
    </w:p>
    <w:p>
      <w:pPr>
        <w:spacing w:after="0" w:line="52" w:lineRule="exact"/>
        <w:rPr>
          <w:sz w:val="20"/>
          <w:szCs w:val="20"/>
          <w:color w:val="auto"/>
        </w:rPr>
      </w:pPr>
    </w:p>
    <w:p>
      <w:pPr>
        <w:ind w:right="80" w:firstLine="323"/>
        <w:spacing w:after="0" w:line="253" w:lineRule="auto"/>
        <w:rPr>
          <w:sz w:val="20"/>
          <w:szCs w:val="20"/>
          <w:color w:val="auto"/>
        </w:rPr>
      </w:pPr>
      <w:r>
        <w:rPr>
          <w:rFonts w:ascii="Times New Roman" w:cs="Times New Roman" w:eastAsia="Times New Roman" w:hAnsi="Times New Roman"/>
          <w:sz w:val="18"/>
          <w:szCs w:val="18"/>
          <w:color w:val="auto"/>
        </w:rPr>
        <w:t>The FATCA provisions of the Code generally impose a 30% withholding tax regime with respect to (i) certain U.S. source income (including interest and dividends) (“withholdable payments”) and (ii) “passthru payments” (generally, withholdable payments and payments that are attributable to withholdable payments) made by foreign financial institutions (“FFIs”). Under proposed regulations promulgated by the U.S. Department of the Treasury, on which taxpayers may rely until final regulations are issued, withholdable payments do not include gross proceeds from the sale or other disposition of property that can produce U.S. source interest or dividends. As a general matter, FATCA was designed to require U.S. persons’ direct and indirect ownership of certain non-U.S. accounts and non-U.S. entities to be reported to the IRS. The application of the FATCA withholding rules were phased in beginning July 1, 2014, with withholding on foreign passthru payments made by FFIs taking effect after the date of publication of final regulations defining the term foreign passthru payment.</w:t>
      </w:r>
    </w:p>
    <w:p>
      <w:pPr>
        <w:spacing w:after="0" w:line="82"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The United States has entered into intergovernmental agreements between the United States and Bermuda and between the United States and the United Kingdom (the “IGAs”), which potentially modify the FATCA withholding regime described above with respect to us and our common shares. There can be no certainty as to whether the Company will be treated as a FFI under FATCA. We strongly urge you to consult your own tax advisor regarding the potential impact of FATCA, the IGAs and any non-U.S. legislation implementing FATCA.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tax laws may be retroactive and could subject us and/or U.S. persons who own our shares to U.S. income taxation.</w:t>
      </w:r>
    </w:p>
    <w:p>
      <w:pPr>
        <w:spacing w:after="0" w:line="119" w:lineRule="exact"/>
        <w:rPr>
          <w:sz w:val="20"/>
          <w:szCs w:val="20"/>
          <w:color w:val="auto"/>
        </w:rPr>
      </w:pPr>
    </w:p>
    <w:p>
      <w:pPr>
        <w:ind w:right="200" w:firstLine="323"/>
        <w:spacing w:after="0" w:line="280" w:lineRule="auto"/>
        <w:rPr>
          <w:sz w:val="20"/>
          <w:szCs w:val="20"/>
          <w:color w:val="auto"/>
        </w:rPr>
      </w:pPr>
      <w:r>
        <w:rPr>
          <w:rFonts w:ascii="Times New Roman" w:cs="Times New Roman" w:eastAsia="Times New Roman" w:hAnsi="Times New Roman"/>
          <w:sz w:val="18"/>
          <w:szCs w:val="18"/>
          <w:color w:val="auto"/>
        </w:rPr>
        <w:t>Legislative proposals or administrative or judicial developments could result in an increase in the amount of U.S. tax payable by us or by an owner of our shares or reduce the attractiveness of our products. Any such developments could materially adversely affect our results of operations.</w:t>
      </w:r>
    </w:p>
    <w:p>
      <w:pPr>
        <w:spacing w:after="0" w:line="55" w:lineRule="exact"/>
        <w:rPr>
          <w:sz w:val="20"/>
          <w:szCs w:val="20"/>
          <w:color w:val="auto"/>
        </w:rPr>
      </w:pPr>
    </w:p>
    <w:p>
      <w:pPr>
        <w:ind w:right="640" w:firstLine="323"/>
        <w:spacing w:after="0" w:line="280" w:lineRule="auto"/>
        <w:rPr>
          <w:sz w:val="20"/>
          <w:szCs w:val="20"/>
          <w:color w:val="auto"/>
        </w:rPr>
      </w:pPr>
      <w:r>
        <w:rPr>
          <w:rFonts w:ascii="Times New Roman" w:cs="Times New Roman" w:eastAsia="Times New Roman" w:hAnsi="Times New Roman"/>
          <w:sz w:val="18"/>
          <w:szCs w:val="18"/>
          <w:color w:val="auto"/>
        </w:rPr>
        <w:t>Tax laws and interpretations thereof, including with respect to whether a company is engaged in a U.S. trade or business, is a controlled foreign corporation (“CFC”), has related party insurance income, or is a PFIC (as defined in Section 1297(a) of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color w:val="auto"/>
        </w:rPr>
        <w:t>Code), are subject to change, possibly on a retroactive basis. We are not able to predict if, when or in what form any guidance on such tax laws will be provided and whether such guidance will have a retroactive effect.</w:t>
      </w:r>
    </w:p>
    <w:p>
      <w:pPr>
        <w:spacing w:after="0" w:line="51"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reinsurance premiums previously paid by our U.S. subsidiaries to our non-U.S. subsidiaries did not historically reflect arm’s-length terms, the IRS could seek to recharacterize the payments in a way that is unfavorable to us.</w:t>
      </w:r>
    </w:p>
    <w:p>
      <w:pPr>
        <w:spacing w:after="0" w:line="52" w:lineRule="exact"/>
        <w:rPr>
          <w:sz w:val="20"/>
          <w:szCs w:val="20"/>
          <w:color w:val="auto"/>
        </w:rPr>
      </w:pPr>
    </w:p>
    <w:p>
      <w:pPr>
        <w:ind w:right="180" w:firstLine="323"/>
        <w:spacing w:after="0" w:line="255" w:lineRule="auto"/>
        <w:rPr>
          <w:sz w:val="20"/>
          <w:szCs w:val="20"/>
          <w:color w:val="auto"/>
        </w:rPr>
      </w:pPr>
      <w:r>
        <w:rPr>
          <w:rFonts w:ascii="Times New Roman" w:cs="Times New Roman" w:eastAsia="Times New Roman" w:hAnsi="Times New Roman"/>
          <w:sz w:val="18"/>
          <w:szCs w:val="18"/>
          <w:color w:val="auto"/>
        </w:rPr>
        <w:t>The IRS is permitted to reallocate or recharacterize income, deductions or certain other items, and to make any other adjustment, to reflect the proper amount, source or character of the taxable income in respect of payments among related parties to reflect an arm’s-length transaction. In the past, we have had in place intercompany loans from our U.S. subsidiaries to our parent company and intercompany reinsurance agreements among consolidated entities. We believe the terms of these transactions were appropriate and reflected arm’s-length arrangements and are consistent with all applicable rules and regulations. However, if the U.S. Department of the Treasury or the IRS reviews our former intercompany agreements and successfully asserts, under Section 482 or 845 of the Code, that the terms do not reflect arm’s-length transactions, we may owe additional tax.</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Reduced tax rates for qualified dividend income may not be available in the future.</w:t>
      </w:r>
    </w:p>
    <w:p>
      <w:pPr>
        <w:spacing w:after="0" w:line="119" w:lineRule="exact"/>
        <w:rPr>
          <w:sz w:val="20"/>
          <w:szCs w:val="20"/>
          <w:color w:val="auto"/>
        </w:rPr>
      </w:pPr>
    </w:p>
    <w:p>
      <w:pPr>
        <w:ind w:firstLine="323"/>
        <w:spacing w:after="0" w:line="256" w:lineRule="auto"/>
        <w:rPr>
          <w:sz w:val="20"/>
          <w:szCs w:val="20"/>
          <w:color w:val="auto"/>
        </w:rPr>
      </w:pPr>
      <w:r>
        <w:rPr>
          <w:rFonts w:ascii="Times New Roman" w:cs="Times New Roman" w:eastAsia="Times New Roman" w:hAnsi="Times New Roman"/>
          <w:sz w:val="18"/>
          <w:szCs w:val="18"/>
          <w:color w:val="auto"/>
        </w:rPr>
        <w:t>We believe that the dividends paid on our common shares should qualify (and should have historically qualified) as “qualified dividend income” as long as the common shares are listed on a national securities exchange and we are not (and were not) a PFIC. Qualified dividend income received by non-corporate U.S. persons is generally eligible for long-term capital gain rates. There has been proposed legislation before the U.S. Senate and House of Representatives that would exclude shareholders of certain foreign corporations from this advantageous tax treatment. If such legislation were to become law, non-corporate U.S. persons would no longer qualify for the reduced tax rate on the dividends paid by us.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non-U.K. companies may be subject to U.K. tax that may have a material adverse effect on our operating results.</w:t>
      </w:r>
    </w:p>
    <w:p>
      <w:pPr>
        <w:spacing w:after="0" w:line="119" w:lineRule="exact"/>
        <w:rPr>
          <w:sz w:val="20"/>
          <w:szCs w:val="20"/>
          <w:color w:val="auto"/>
        </w:rPr>
      </w:pPr>
    </w:p>
    <w:p>
      <w:pPr>
        <w:ind w:right="40" w:firstLine="323"/>
        <w:spacing w:after="0" w:line="255" w:lineRule="auto"/>
        <w:rPr>
          <w:sz w:val="20"/>
          <w:szCs w:val="20"/>
          <w:color w:val="auto"/>
        </w:rPr>
      </w:pPr>
      <w:r>
        <w:rPr>
          <w:rFonts w:ascii="Times New Roman" w:cs="Times New Roman" w:eastAsia="Times New Roman" w:hAnsi="Times New Roman"/>
          <w:sz w:val="18"/>
          <w:szCs w:val="18"/>
          <w:color w:val="auto"/>
        </w:rPr>
        <w:t>We intend to operate in such a manner so that none of our companies other than our intermediate holding company incorporated in the United Kingdom, James River UK, should be resident in the U.K. for tax purposes or have a permanent establishment in the U.K. Accordingly, we expect that none of our companies other than James River UK should be subject to U.K. taxation. However, since applicable law and regulations do not conclusively define the activities that constitute conducting business in the U.K. through a permanent establishment, the U.K. HM Revenue &amp; Customs might contend successfully that one or more of our other companies is conducting business in the U.K. through a permanent establishment in the U.K., and therefore such entities could become subject to U.K. taxation.</w:t>
      </w:r>
    </w:p>
    <w:p>
      <w:pPr>
        <w:spacing w:after="0" w:line="74"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U.S. persons who owned our shares prior to January 1, 2025 may be subject to U.S. federal income taxation on our undistributed earnings and may recognize ordinary income upon disposition of shares.</w:t>
      </w:r>
    </w:p>
    <w:p>
      <w:pPr>
        <w:spacing w:after="0" w:line="52" w:lineRule="exact"/>
        <w:rPr>
          <w:sz w:val="20"/>
          <w:szCs w:val="20"/>
          <w:color w:val="auto"/>
        </w:rPr>
      </w:pPr>
    </w:p>
    <w:p>
      <w:pPr>
        <w:jc w:val="both"/>
        <w:ind w:right="20" w:firstLine="323"/>
        <w:spacing w:after="0" w:line="264" w:lineRule="auto"/>
        <w:rPr>
          <w:sz w:val="20"/>
          <w:szCs w:val="20"/>
          <w:color w:val="auto"/>
        </w:rPr>
      </w:pPr>
      <w:r>
        <w:rPr>
          <w:rFonts w:ascii="Times New Roman" w:cs="Times New Roman" w:eastAsia="Times New Roman" w:hAnsi="Times New Roman"/>
          <w:sz w:val="18"/>
          <w:szCs w:val="18"/>
          <w:color w:val="auto"/>
        </w:rPr>
        <w:t>If we are considered a PFIC for U.S. federal income tax purposes, a U.S. person who owned any of our shares prior to January 1, 2025, could be subject to adverse tax consequences, including becoming subject to a greater tax liability than might otherwise apply and to tax on amounts in advance of when tax would otherwise be imposed, in which case your investment could be materially adversely affected.</w:t>
      </w:r>
    </w:p>
    <w:p>
      <w:pPr>
        <w:spacing w:after="0" w:line="69" w:lineRule="exact"/>
        <w:rPr>
          <w:sz w:val="20"/>
          <w:szCs w:val="20"/>
          <w:color w:val="auto"/>
        </w:rPr>
      </w:pPr>
    </w:p>
    <w:p>
      <w:pPr>
        <w:ind w:right="20" w:firstLine="323"/>
        <w:spacing w:after="0" w:line="253" w:lineRule="auto"/>
        <w:rPr>
          <w:sz w:val="20"/>
          <w:szCs w:val="20"/>
          <w:color w:val="auto"/>
        </w:rPr>
      </w:pPr>
      <w:r>
        <w:rPr>
          <w:rFonts w:ascii="Times New Roman" w:cs="Times New Roman" w:eastAsia="Times New Roman" w:hAnsi="Times New Roman"/>
          <w:sz w:val="18"/>
          <w:szCs w:val="18"/>
          <w:color w:val="auto"/>
        </w:rPr>
        <w:t>The PFIC rules include provisions intended to provide an exception for qualifying insurance corporations (“QIC”) engaged in the active conduct of an insurance business. Generally, a QIC is a company (i) that would be subject to tax under special provisions related to insurance companies if the company was a U.S. entity, and (ii) the applicable insurance liabilities of which constitute more than 25% of its total assets as reported on the company’s applicable financial statement. On January 15, 2021, the IRS and U.S. Department of the Treasury issued final regulations and proposed regulations that provide guidance regarding the PFIC rules and the QIC exception. More specifically, the complex regulations provide, among other things, clarity on the application of “applicable insurance liabilities” and the “applicable financial statement,” as well as the requirements to be engaged in the “active conduct” of an insurance business. The IRS has requested comments on several aspects of the proposed regulations, which are not effective until adopted in final form. It is uncertain when the proposed regulations will be finalized, and whether the provisions of any final or temporary regulations will vary from the proposed regulations.</w:t>
      </w:r>
    </w:p>
    <w:p>
      <w:pPr>
        <w:spacing w:after="0" w:line="79" w:lineRule="exact"/>
        <w:rPr>
          <w:sz w:val="20"/>
          <w:szCs w:val="20"/>
          <w:color w:val="auto"/>
        </w:rPr>
      </w:pPr>
    </w:p>
    <w:p>
      <w:pPr>
        <w:ind w:right="20" w:firstLine="323"/>
        <w:spacing w:after="0" w:line="255" w:lineRule="auto"/>
        <w:rPr>
          <w:sz w:val="20"/>
          <w:szCs w:val="20"/>
          <w:color w:val="auto"/>
        </w:rPr>
      </w:pPr>
      <w:r>
        <w:rPr>
          <w:rFonts w:ascii="Times New Roman" w:cs="Times New Roman" w:eastAsia="Times New Roman" w:hAnsi="Times New Roman"/>
          <w:sz w:val="18"/>
          <w:szCs w:val="18"/>
          <w:color w:val="auto"/>
        </w:rPr>
        <w:t>We believe that we were not a PFIC for U.S. federal income tax purposes while we owned JRG Re, through which we conducted our casualty reinsurance business. Our belief that we were not a PFIC is based, in part, on the fact that we believe that we were a QIC engaged in the active conduct of an insurance business. New regulations or pronouncements interpreting or clarifying these rules may be forthcoming. We cannot predict what impact, if any, such guidance would have on an investor that is subject to U.S. federal income taxation. As a result, we cannot assure you that we, or one of our subsidiaries, will not have been deemed a PFIC by the IRS. If we, or one of our subsidiaries, were considered a PFIC, it could have material adverse tax consequences for an investor that is subject to U.S. federal income taxation.</w:t>
      </w:r>
    </w:p>
    <w:p>
      <w:pPr>
        <w:spacing w:after="0" w:line="78" w:lineRule="exact"/>
        <w:rPr>
          <w:sz w:val="20"/>
          <w:szCs w:val="20"/>
          <w:color w:val="auto"/>
        </w:rPr>
      </w:pPr>
    </w:p>
    <w:p>
      <w:pPr>
        <w:jc w:val="both"/>
        <w:ind w:right="80" w:firstLine="323"/>
        <w:spacing w:after="0" w:line="264" w:lineRule="auto"/>
        <w:rPr>
          <w:sz w:val="20"/>
          <w:szCs w:val="20"/>
          <w:color w:val="auto"/>
        </w:rPr>
      </w:pPr>
      <w:r>
        <w:rPr>
          <w:rFonts w:ascii="Times New Roman" w:cs="Times New Roman" w:eastAsia="Times New Roman" w:hAnsi="Times New Roman"/>
          <w:sz w:val="18"/>
          <w:szCs w:val="18"/>
          <w:color w:val="auto"/>
        </w:rPr>
        <w:t>A non-U.S. corporation generally will be classified as a CFC if U.S. persons, each of whom owns, directly, indirectly, or constructively, at least 10% of the voting power or value of such corporation’s stock (“U.S. 10% Shareholders”), own in the aggregate more than 50% of the voting power or value of the stock of such corporation. Tax legislation enacted in 2017</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eliminated the prohibition on “downward attribution” from non-U.S. persons to U.S. persons under the CFC constructive ownership rules. As a result, our U.S. subsidiaries were deemed to own all of the stock of our non-U.S. subsidiaries prior to the disposition or dissolution of such non-U.S. subsidiaries (other than James River UK), for purposes of classifying those non-U.S. subsidiaries as CFCs. The legislative history under such tax legislation indicates that this change to the CFC constructive ownership rules was not intended to cause our then non-U.S. subsidiaries to be treated as CFCs with respect to a 10% U.S. Shareholder that is not related (within the meaning of Section 954(d)(3) of the Code) to our U.S. subsidiary. However, it is not clear whether the IRS or a court would interpret the change made by the tax legislation in a manner consistent with such indicated intent.</w:t>
      </w:r>
    </w:p>
    <w:p>
      <w:pPr>
        <w:spacing w:after="0" w:line="78" w:lineRule="exact"/>
        <w:rPr>
          <w:sz w:val="20"/>
          <w:szCs w:val="20"/>
          <w:color w:val="auto"/>
        </w:rPr>
      </w:pPr>
    </w:p>
    <w:p>
      <w:pPr>
        <w:ind w:right="100" w:firstLine="323"/>
        <w:spacing w:after="0" w:line="253" w:lineRule="auto"/>
        <w:rPr>
          <w:sz w:val="20"/>
          <w:szCs w:val="20"/>
          <w:color w:val="auto"/>
        </w:rPr>
      </w:pPr>
      <w:r>
        <w:rPr>
          <w:rFonts w:ascii="Times New Roman" w:cs="Times New Roman" w:eastAsia="Times New Roman" w:hAnsi="Times New Roman"/>
          <w:sz w:val="18"/>
          <w:szCs w:val="18"/>
          <w:color w:val="auto"/>
        </w:rPr>
        <w:t>Under these rules, if a foreign corporation is a CFC, each U.S. 10% Shareholder who owns directly or indirectly shares of the CFC on the last day of the CFC’s taxable year must annually include in its taxable income its pro rata share of the CFC’s “subpart F income,” even if no distributions are made. Subpart F income typically includes “foreign personal holding company income” (such as interest, dividends and other types of passive income), as well as insurance and reinsurance income (including underwriting and investment income). In general (subject to the special rules applicable to “related person insurance income” described below), for purposes of taking into account insurance income, a foreign insurance company will be treated as a CFC if U.S. 10% Shareholders collectively own more than 25% of the voting power or value of the company’s shares at any point during any year. As discussed above, we cannot assure you that we were not previously a CFC. If you are a U.S. person, we strongly urge you to consult your own tax advisor concerning the CFC rules.</w:t>
      </w:r>
    </w:p>
    <w:p>
      <w:pPr>
        <w:spacing w:after="0" w:line="80" w:lineRule="exact"/>
        <w:rPr>
          <w:sz w:val="20"/>
          <w:szCs w:val="20"/>
          <w:color w:val="auto"/>
        </w:rPr>
      </w:pPr>
    </w:p>
    <w:p>
      <w:pPr>
        <w:ind w:right="80" w:firstLine="323"/>
        <w:spacing w:after="0" w:line="252" w:lineRule="auto"/>
        <w:rPr>
          <w:sz w:val="20"/>
          <w:szCs w:val="20"/>
          <w:color w:val="auto"/>
        </w:rPr>
      </w:pPr>
      <w:r>
        <w:rPr>
          <w:rFonts w:ascii="Times New Roman" w:cs="Times New Roman" w:eastAsia="Times New Roman" w:hAnsi="Times New Roman"/>
          <w:sz w:val="18"/>
          <w:szCs w:val="18"/>
          <w:i w:val="1"/>
          <w:iCs w:val="1"/>
          <w:color w:val="auto"/>
        </w:rPr>
        <w:t>Related Person Insurance Income</w:t>
      </w:r>
      <w:r>
        <w:rPr>
          <w:rFonts w:ascii="Times New Roman" w:cs="Times New Roman" w:eastAsia="Times New Roman" w:hAnsi="Times New Roman"/>
          <w:sz w:val="18"/>
          <w:szCs w:val="18"/>
          <w:color w:val="auto"/>
        </w:rPr>
        <w:t>. Under proposed regulations, if (i) our gross income attributable to insurance or reinsurance policies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direct or indirect insureds are our direct or indirect U.S. shareholders or persons related to such U.S. shareholders equals or exceeds 20% of our gross insurance income in any taxable year; and (ii) direct or indirect insureds and persons related to such insureds own directly or indirectly 20% or more of the voting power or value of our shares (together, the “RPII Test”), a U.S. person who owned any of our shares directly or indirectly on the last day of such taxable year would most likely be required to include its allocable share of our related person insurance income for such taxable year in its income, even if no distributions are made. We do not believe that the 20% gross insurance income threshold was met while we owned JRG Re. Additionally, certain proposed regulations would expand the scope of related person insurance income for the time in which we owned non-U.S. operating companies to potentially include all of the insurance income of our non-U.S. operating companies earned from reinsuring affiliates if such companies were majority owned (directly, indirectly or by application of certain constructive ownership rules) by U.S. persons. It is not certain whether any of these proposed regulations will be adopted in their proposed form or what changes or clarifications might ultimately be made thereto or whether any such changes, as well as any interpretation or application of the related person insurance income rules by the IRS, the courts, or otherwise, might have retroactive effect. Consequently, we cannot assure you that a person who was a direct or indirect U.S. shareholder will not be required to include amounts in its income in respect of related person insurance income in any taxable year in which we owned non-U.S. operating companies.</w:t>
      </w:r>
    </w:p>
    <w:p>
      <w:pPr>
        <w:spacing w:after="0" w:line="77" w:lineRule="exact"/>
        <w:rPr>
          <w:sz w:val="20"/>
          <w:szCs w:val="20"/>
          <w:color w:val="auto"/>
        </w:rPr>
      </w:pPr>
    </w:p>
    <w:p>
      <w:pPr>
        <w:ind w:right="100" w:firstLine="323"/>
        <w:spacing w:after="0" w:line="257" w:lineRule="auto"/>
        <w:rPr>
          <w:sz w:val="20"/>
          <w:szCs w:val="20"/>
          <w:color w:val="auto"/>
        </w:rPr>
      </w:pPr>
      <w:r>
        <w:rPr>
          <w:rFonts w:ascii="Times New Roman" w:cs="Times New Roman" w:eastAsia="Times New Roman" w:hAnsi="Times New Roman"/>
          <w:sz w:val="18"/>
          <w:szCs w:val="18"/>
          <w:i w:val="1"/>
          <w:iCs w:val="1"/>
          <w:color w:val="auto"/>
        </w:rPr>
        <w:t>Dispositions of Our Shares</w:t>
      </w:r>
      <w:r>
        <w:rPr>
          <w:rFonts w:ascii="Times New Roman" w:cs="Times New Roman" w:eastAsia="Times New Roman" w:hAnsi="Times New Roman"/>
          <w:sz w:val="18"/>
          <w:szCs w:val="18"/>
          <w:color w:val="auto"/>
        </w:rPr>
        <w:t>. If a U.S. shareholder is treated as disposing of shares in a CFC of which it is a U.S. 10% Shareholder, or of shares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insurance corporation that has related person insurance income and in which U.S. persons collectively own 25% or more of the voting power or value of the company’s shares, any gain from the disposition will generally be treated as a dividend to the extent of the U.S. shareholder’s portion of the corporation’s undistributed earnings and profits, as the case may be, that were accumulated during the period that the U.S. shareholder owned the shares. In addition, the shareholder will be required to comply with certain reporting requirements.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taxes in Bermuda, which may have a material adverse effect on our results of operations and your investment.</w:t>
      </w:r>
    </w:p>
    <w:p>
      <w:pPr>
        <w:spacing w:after="0" w:line="119" w:lineRule="exact"/>
        <w:rPr>
          <w:sz w:val="20"/>
          <w:szCs w:val="20"/>
          <w:color w:val="auto"/>
        </w:rPr>
      </w:pPr>
    </w:p>
    <w:p>
      <w:pPr>
        <w:ind w:right="140" w:firstLine="323"/>
        <w:spacing w:after="0" w:line="264" w:lineRule="auto"/>
        <w:rPr>
          <w:sz w:val="20"/>
          <w:szCs w:val="20"/>
          <w:color w:val="auto"/>
        </w:rPr>
      </w:pPr>
      <w:r>
        <w:rPr>
          <w:rFonts w:ascii="Times New Roman" w:cs="Times New Roman" w:eastAsia="Times New Roman" w:hAnsi="Times New Roman"/>
          <w:sz w:val="18"/>
          <w:szCs w:val="18"/>
          <w:color w:val="auto"/>
        </w:rPr>
        <w:t>As discussed above, the OECD is coordinating a global effort to reform certain aspects of the international tax system. This effort included the December 2021 release of model rules for a 15% global minimum tax regime. If these model rules are partially or fully implemented globally, we could be subject to additional taxes and costs for tax compliance.</w:t>
      </w:r>
    </w:p>
    <w:p>
      <w:pPr>
        <w:spacing w:after="0" w:line="69" w:lineRule="exact"/>
        <w:rPr>
          <w:sz w:val="20"/>
          <w:szCs w:val="20"/>
          <w:color w:val="auto"/>
        </w:rPr>
      </w:pPr>
    </w:p>
    <w:p>
      <w:pPr>
        <w:ind w:firstLine="323"/>
        <w:spacing w:after="0" w:line="253" w:lineRule="auto"/>
        <w:rPr>
          <w:sz w:val="20"/>
          <w:szCs w:val="20"/>
          <w:color w:val="auto"/>
        </w:rPr>
      </w:pPr>
      <w:r>
        <w:rPr>
          <w:rFonts w:ascii="Times New Roman" w:cs="Times New Roman" w:eastAsia="Times New Roman" w:hAnsi="Times New Roman"/>
          <w:sz w:val="18"/>
          <w:szCs w:val="18"/>
          <w:color w:val="auto"/>
        </w:rPr>
        <w:t>In response to this initiative, Bermuda introduced the Corporate Income Tax Act 2023 (“CIT Act”) which is fully effective for tax years beginning on or after January 1, 2025. Entities subject to tax under the CIT Act are the Bermuda constituent entities of multi-national groups. A multi-national group is defined under the CIT Act as a group with entities in more than one jurisdiction with consolidated revenues of at least €750 million for two of the four previous fiscal years. If Bermuda constituent entities of a multi-national group are subject to tax under the CIT Act, such tax is charged at a rate of 15% of the net income of such constituent entities (as determined in accordance with the CIT Act, including after adjusting for any relevant foreign tax credits applicable to the Bermuda constituent entities). No tax is chargeable under the CIT Act until tax years starting on or after January 1, 2025. Provided that the Company is not part of a multi-national group, it is not currently expected to be subject to tax under the CIT Act and, under current Bermuda law, there is no other income, corporate or profits tax or withholding tax, capital gains tax or capital transfer tax payable by the Company.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323"/>
        <w:spacing w:after="0" w:line="253" w:lineRule="auto"/>
        <w:rPr>
          <w:sz w:val="20"/>
          <w:szCs w:val="20"/>
          <w:color w:val="auto"/>
        </w:rPr>
      </w:pPr>
      <w:r>
        <w:rPr>
          <w:rFonts w:ascii="Times New Roman" w:cs="Times New Roman" w:eastAsia="Times New Roman" w:hAnsi="Times New Roman"/>
          <w:sz w:val="18"/>
          <w:szCs w:val="18"/>
          <w:color w:val="auto"/>
        </w:rPr>
        <w:t>The Company has obtained from the Minister of Finance under The Exempted Undertaking Tax Protection Act of 1966, as amended (“EUTP Act”) an assurance that, in the event that Bermuda enacts legislation imposing tax computed on profits, income, any capital asset, gain or appreciation, or any tax in the nature of estate duty or inheritance, then the imposition of any such tax shall not be applicable to the Company or to any of its operations or its shares, debentures or other obligations, until March 31, 2035. The Company could be subject to taxes in Bermuda after that date. This assurance is subject to the proviso that it is not to be construed so as to prevent the application of any tax or duty to such persons as are ordinarily resident in Bermuda or to prevent the application of any tax payable in accordance with the provisions of the Land Tax Act 1967 or otherwise payable in relation to any property leased to the Company. In the event the Company is subject to tax under the CIT Act, this would supersede the assurance received from the Minister of Finance under the EUTP Act.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Shares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shares has been, and may continue to be, volatile, and you could lose all or part of your investment.</w:t>
      </w:r>
    </w:p>
    <w:p>
      <w:pPr>
        <w:spacing w:after="0" w:line="119" w:lineRule="exact"/>
        <w:rPr>
          <w:sz w:val="20"/>
          <w:szCs w:val="20"/>
          <w:color w:val="auto"/>
        </w:rPr>
      </w:pPr>
    </w:p>
    <w:p>
      <w:pPr>
        <w:ind w:right="220" w:firstLine="323"/>
        <w:spacing w:after="0" w:line="280" w:lineRule="auto"/>
        <w:rPr>
          <w:sz w:val="20"/>
          <w:szCs w:val="20"/>
          <w:color w:val="auto"/>
        </w:rPr>
      </w:pPr>
      <w:r>
        <w:rPr>
          <w:rFonts w:ascii="Times New Roman" w:cs="Times New Roman" w:eastAsia="Times New Roman" w:hAnsi="Times New Roman"/>
          <w:sz w:val="18"/>
          <w:szCs w:val="18"/>
          <w:color w:val="auto"/>
        </w:rPr>
        <w:t>Volatility in the market price of our common shares may prevent you from being able to sell your common shares at or above the price you paid. The market price for our common shares has, and may continue to, fluctuate significantly for various reasons, including, without limitation:</w:t>
      </w:r>
    </w:p>
    <w:p>
      <w:pPr>
        <w:spacing w:after="0" w:line="55" w:lineRule="exact"/>
        <w:rPr>
          <w:sz w:val="20"/>
          <w:szCs w:val="20"/>
          <w:color w:val="auto"/>
        </w:rPr>
      </w:pPr>
    </w:p>
    <w:p>
      <w:pPr>
        <w:ind w:left="580" w:hanging="250"/>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earnings estimates, or those of other companies in our industry;</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external expectations or management guidance;</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reaction to adverse loss reserve development, or any entry into a loss portfolio or adverse development cover transaction;</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individually large clients, and its impact on our growth rate, profitability and financial condition;</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or rating agency action;</w:t>
      </w:r>
    </w:p>
    <w:p>
      <w:pPr>
        <w:spacing w:after="0" w:line="115" w:lineRule="exact"/>
        <w:rPr>
          <w:rFonts w:ascii="Times New Roman" w:cs="Times New Roman" w:eastAsia="Times New Roman" w:hAnsi="Times New Roman"/>
          <w:sz w:val="18"/>
          <w:szCs w:val="18"/>
          <w:color w:val="auto"/>
        </w:rPr>
      </w:pPr>
    </w:p>
    <w:p>
      <w:pPr>
        <w:ind w:left="660" w:right="140" w:hanging="330"/>
        <w:spacing w:after="0" w:line="280" w:lineRule="auto"/>
        <w:tabs>
          <w:tab w:leader="none" w:pos="57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capital market risks related to changes in interest rates, realized investment losses, credit spreads, equity prices, foreign exchange rates and performance of insurance-linked investments;</w:t>
      </w:r>
    </w:p>
    <w:p>
      <w:pPr>
        <w:spacing w:after="0" w:line="54"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creditworthiness, financial condition, performance and prospects;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payment of dividends on our common shares, or payment of a reduced amount of dividends;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growth rates relative to our competitors;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of the investment opportunity associated with our common shares relative to other investment alternatives;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by the investment community regarding our business;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announcements concerning our business or our competitors’ businesses;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industry perception of our success, or lack thereof, in pursuing our strategy;</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dispositions, restructurings, significant contracts or joint ventures;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catastrophes that are perceived by investors as impacting the insurance market in general;</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government regulation, including tax or insurance laws and regulations;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characterization of us as a PFIC for periods prior to the dispositions of JRG Re;</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economic and political conditions;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conditions or trends in our industry, geographies or customers;</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 and departure of key personnel;</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are publicly traded;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right="300" w:hanging="330"/>
        <w:spacing w:after="0" w:line="280" w:lineRule="auto"/>
        <w:tabs>
          <w:tab w:leader="none" w:pos="57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and issuance of common shares or other securities by us, sales of common shares by our directors or executive officers, or sales of a significant number of common shares issued upon conversion of additional Series A Preferred Shares; and</w:t>
      </w:r>
    </w:p>
    <w:p>
      <w:pPr>
        <w:spacing w:after="0" w:line="54"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resolution of litigation against us.</w:t>
      </w:r>
    </w:p>
    <w:p>
      <w:pPr>
        <w:spacing w:after="0" w:line="115" w:lineRule="exact"/>
        <w:rPr>
          <w:sz w:val="20"/>
          <w:szCs w:val="20"/>
          <w:color w:val="auto"/>
        </w:rPr>
      </w:pPr>
    </w:p>
    <w:p>
      <w:pPr>
        <w:ind w:right="80" w:firstLine="323"/>
        <w:spacing w:after="0" w:line="254" w:lineRule="auto"/>
        <w:rPr>
          <w:sz w:val="20"/>
          <w:szCs w:val="20"/>
          <w:color w:val="auto"/>
        </w:rPr>
      </w:pPr>
      <w:r>
        <w:rPr>
          <w:rFonts w:ascii="Times New Roman" w:cs="Times New Roman" w:eastAsia="Times New Roman" w:hAnsi="Times New Roman"/>
          <w:sz w:val="18"/>
          <w:szCs w:val="18"/>
          <w:color w:val="auto"/>
        </w:rPr>
        <w:t>In addition, stock markets, including the NASDAQ Stock Market (the market on which our common shares are traded), have experienced price and volume fluctuations that have affected and continue to affect the market prices of equity securities issued by many companies, including companies in our industry. In the past, some companies that have had volatile market prices for their securities have been subject to class action or derivative lawsuits. The Company had such a lawsuit filed against it following our May 2021 equity offering and another regarding the restatement of our financial statements in November 2023. The filing of these lawsuits against us, or any future filings of a lawsuit against us, regardless of the outcome, could have a negative effect on our business, as it could result in substantial legal costs and a diversion of management’s attention and resources. See “Item 3. Legal Proceedings” for more information.</w:t>
      </w:r>
    </w:p>
    <w:p>
      <w:pPr>
        <w:spacing w:after="0" w:line="79" w:lineRule="exact"/>
        <w:rPr>
          <w:sz w:val="20"/>
          <w:szCs w:val="20"/>
          <w:color w:val="auto"/>
        </w:rPr>
      </w:pPr>
    </w:p>
    <w:p>
      <w:pPr>
        <w:ind w:right="260" w:firstLine="323"/>
        <w:spacing w:after="0" w:line="264" w:lineRule="auto"/>
        <w:rPr>
          <w:sz w:val="20"/>
          <w:szCs w:val="20"/>
          <w:color w:val="auto"/>
        </w:rPr>
      </w:pPr>
      <w:r>
        <w:rPr>
          <w:rFonts w:ascii="Times New Roman" w:cs="Times New Roman" w:eastAsia="Times New Roman" w:hAnsi="Times New Roman"/>
          <w:sz w:val="18"/>
          <w:szCs w:val="18"/>
          <w:color w:val="auto"/>
        </w:rPr>
        <w:t>As a result of the factors described above, shareholders may not be able to resell their common shares at or above their purchase price or may not be able to resell them at all. These market and industry factors may materially reduce the market price of our common shares, regardless of our operating performance.</w:t>
      </w:r>
    </w:p>
    <w:p>
      <w:pPr>
        <w:spacing w:after="0" w:line="65"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disputes relating to the Stock Purchase Agreement and the sale of JRG Re to Fleming, which closed on April 16, 2024. An adverse outcome to these matters may have a material adverse effect on our financial position.</w:t>
      </w:r>
    </w:p>
    <w:p>
      <w:pPr>
        <w:spacing w:after="0" w:line="52" w:lineRule="exact"/>
        <w:rPr>
          <w:sz w:val="20"/>
          <w:szCs w:val="20"/>
          <w:color w:val="auto"/>
        </w:rPr>
      </w:pPr>
    </w:p>
    <w:p>
      <w:pPr>
        <w:ind w:firstLine="323"/>
        <w:spacing w:after="0" w:line="259" w:lineRule="auto"/>
        <w:rPr>
          <w:sz w:val="20"/>
          <w:szCs w:val="20"/>
          <w:color w:val="auto"/>
        </w:rPr>
      </w:pPr>
      <w:r>
        <w:rPr>
          <w:rFonts w:ascii="Times New Roman" w:cs="Times New Roman" w:eastAsia="Times New Roman" w:hAnsi="Times New Roman"/>
          <w:sz w:val="18"/>
          <w:szCs w:val="18"/>
          <w:color w:val="auto"/>
        </w:rPr>
        <w:t>In accordance with the Stock Purchase Agreement, the cash portion of the purchase price (the “Closing Date Purchase Price”) received by the Company for the sale of JRG Re on April 16, 2024 (the “Closing Date”) was calculated based on an estimated closing statement, which in turn was based on an estimated balance sheet of JRG Re. Under the Stock Purchase Agreement, the estimated closing statement is subject to a post-closing adjustment process between the Company and Fleming to produce a final closing statement based on a final balance sheet of JRG Re as of the Closing Date.</w:t>
      </w:r>
    </w:p>
    <w:p>
      <w:pPr>
        <w:spacing w:after="0" w:line="74" w:lineRule="exact"/>
        <w:rPr>
          <w:sz w:val="20"/>
          <w:szCs w:val="20"/>
          <w:color w:val="auto"/>
        </w:rPr>
      </w:pPr>
    </w:p>
    <w:p>
      <w:pPr>
        <w:ind w:firstLine="323"/>
        <w:spacing w:after="0" w:line="253" w:lineRule="auto"/>
        <w:rPr>
          <w:sz w:val="20"/>
          <w:szCs w:val="20"/>
          <w:color w:val="auto"/>
        </w:rPr>
      </w:pPr>
      <w:r>
        <w:rPr>
          <w:rFonts w:ascii="Times New Roman" w:cs="Times New Roman" w:eastAsia="Times New Roman" w:hAnsi="Times New Roman"/>
          <w:sz w:val="18"/>
          <w:szCs w:val="18"/>
          <w:color w:val="auto"/>
        </w:rPr>
        <w:t>Fleming delivered a closing statement to the Company, and pursuant to the procedures in the Stock Purchase Agreement, the Company has given notice of its disagreement with Fleming’s closing statement. In its notice of disagreement, the Company (i) agreed with an $11.4 million downward adjustment to the Closing Date Purchase Price due to the losses recorded on JRG Re's operations between the date of the balance sheet used to produce the estimated closing statement and the Closing Date, which downward adjustment was included in “Other Liabilities” on the Company's Balance Sheet at September 30, 2024 (and was paid to Fleming on October 18, 2024), and (ii) disputed $54.1 million in aggregate downward adjustments to the Closing Date Purchase Price claimed by Fleming, which the Company believes are unsupported by the facts known to the Company and the terms of the Stock Purchase Agreement. The Stock Purchase Agreement provides procedures for resolving disputes between the parties regarding the closing statement and it is possible that the resolution of these disputes could result in a significant reduction to the amount of the purchase price beyond the $11.4 million downward adjustment already paid by the Company to Fleming.</w:t>
      </w:r>
    </w:p>
    <w:p>
      <w:pPr>
        <w:spacing w:after="0" w:line="77" w:lineRule="exact"/>
        <w:rPr>
          <w:sz w:val="20"/>
          <w:szCs w:val="20"/>
          <w:color w:val="auto"/>
        </w:rPr>
      </w:pPr>
    </w:p>
    <w:p>
      <w:pPr>
        <w:ind w:right="120" w:firstLine="323"/>
        <w:spacing w:after="0" w:line="257" w:lineRule="auto"/>
        <w:rPr>
          <w:sz w:val="20"/>
          <w:szCs w:val="20"/>
          <w:color w:val="auto"/>
        </w:rPr>
      </w:pPr>
      <w:r>
        <w:rPr>
          <w:rFonts w:ascii="Times New Roman" w:cs="Times New Roman" w:eastAsia="Times New Roman" w:hAnsi="Times New Roman"/>
          <w:sz w:val="18"/>
          <w:szCs w:val="18"/>
          <w:color w:val="auto"/>
        </w:rPr>
        <w:t>As described in the Risk Factor below “</w:t>
      </w:r>
      <w:r>
        <w:rPr>
          <w:rFonts w:ascii="Times New Roman" w:cs="Times New Roman" w:eastAsia="Times New Roman" w:hAnsi="Times New Roman"/>
          <w:sz w:val="18"/>
          <w:szCs w:val="18"/>
          <w:i w:val="1"/>
          <w:iCs w:val="1"/>
          <w:color w:val="auto"/>
        </w:rPr>
        <w:t>Litigation and legal proceedings against us or our subsidiaries could have a material adverse effect on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financial condition and/or results of operations</w:t>
      </w:r>
      <w:r>
        <w:rPr>
          <w:rFonts w:ascii="Times New Roman" w:cs="Times New Roman" w:eastAsia="Times New Roman" w:hAnsi="Times New Roman"/>
          <w:sz w:val="18"/>
          <w:szCs w:val="18"/>
          <w:color w:val="auto"/>
        </w:rPr>
        <w:t>,” we are involved in litigation with Fleming regarding the Stock Purchase Agreement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The outcome of the disputes over the post-closing adjustment and the litigation with Fleming cannot be predicted and, if determined adversely, could require us to repay a significant portion of the purchase price paid by Fleming on the Closing Date, as well as significant damage amounts, which could have a material adverse effect on our financial position.</w:t>
      </w:r>
    </w:p>
    <w:p>
      <w:pPr>
        <w:spacing w:after="0" w:line="72"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Litigation and legal proceedings against us or our subsidiaries could have a material adverse effect on our business, financial condition and/or results of operations.</w:t>
      </w:r>
    </w:p>
    <w:p>
      <w:pPr>
        <w:spacing w:after="0" w:line="52" w:lineRule="exact"/>
        <w:rPr>
          <w:sz w:val="20"/>
          <w:szCs w:val="20"/>
          <w:color w:val="auto"/>
        </w:rPr>
      </w:pPr>
    </w:p>
    <w:p>
      <w:pPr>
        <w:ind w:right="140" w:firstLine="323"/>
        <w:spacing w:after="0" w:line="259" w:lineRule="auto"/>
        <w:rPr>
          <w:sz w:val="20"/>
          <w:szCs w:val="20"/>
          <w:color w:val="auto"/>
        </w:rPr>
      </w:pPr>
      <w:r>
        <w:rPr>
          <w:rFonts w:ascii="Times New Roman" w:cs="Times New Roman" w:eastAsia="Times New Roman" w:hAnsi="Times New Roman"/>
          <w:sz w:val="18"/>
          <w:szCs w:val="18"/>
          <w:color w:val="auto"/>
        </w:rPr>
        <w:t>We or our subsidiaries are or may be named as defendants in various legal actions, including commercial matters and litigation regarding insurance claims which arise in the ordinary course of business. In addition, the Company is involved from time to time in legal actions which seek extra-contractual damages, punitive damages or penalties, including claims alleging bad faith in handling of insurance claims. See “Item 3. Legal Proceedings” for more information.</w:t>
      </w:r>
    </w:p>
    <w:p>
      <w:pPr>
        <w:spacing w:after="0" w:line="74" w:lineRule="exact"/>
        <w:rPr>
          <w:sz w:val="20"/>
          <w:szCs w:val="20"/>
          <w:color w:val="auto"/>
        </w:rPr>
      </w:pPr>
    </w:p>
    <w:p>
      <w:pPr>
        <w:ind w:right="80" w:firstLine="323"/>
        <w:spacing w:after="0" w:line="287" w:lineRule="auto"/>
        <w:rPr>
          <w:sz w:val="20"/>
          <w:szCs w:val="20"/>
          <w:color w:val="auto"/>
        </w:rPr>
      </w:pPr>
      <w:r>
        <w:rPr>
          <w:rFonts w:ascii="Times New Roman" w:cs="Times New Roman" w:eastAsia="Times New Roman" w:hAnsi="Times New Roman"/>
          <w:sz w:val="17"/>
          <w:szCs w:val="17"/>
          <w:color w:val="auto"/>
        </w:rPr>
        <w:t>We believe that the outcome of these matters and other presently pending matters, individually and in the aggregate, are not reasonably likely to have a material adverse effect on our consolidated financial position. However, the outcomes of lawsuits cannot be predicted and, if determined adversely, could require us to pay significant damage amounts or to change aspects of our operations, which could have a material adverse effect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In the future we may identify material weaknesses or otherwise fail to maintain an effective system of internal controls, which may result in material misstatements of our consolidated financial statements or cause us to fail to meet our periodic reporting obligations. The occurrence of any such event may have a material adverse effect on our business and common share price.</w:t>
      </w:r>
    </w:p>
    <w:p>
      <w:pPr>
        <w:spacing w:after="0" w:line="66" w:lineRule="exact"/>
        <w:rPr>
          <w:sz w:val="20"/>
          <w:szCs w:val="20"/>
          <w:color w:val="auto"/>
        </w:rPr>
      </w:pPr>
    </w:p>
    <w:p>
      <w:pPr>
        <w:ind w:right="20" w:firstLine="323"/>
        <w:spacing w:after="0" w:line="259" w:lineRule="auto"/>
        <w:rPr>
          <w:sz w:val="20"/>
          <w:szCs w:val="20"/>
          <w:color w:val="auto"/>
        </w:rPr>
      </w:pPr>
      <w:r>
        <w:rPr>
          <w:rFonts w:ascii="Times New Roman" w:cs="Times New Roman" w:eastAsia="Times New Roman" w:hAnsi="Times New Roman"/>
          <w:sz w:val="18"/>
          <w:szCs w:val="18"/>
          <w:color w:val="auto"/>
        </w:rPr>
        <w:t>In November 2023, we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While the material weakness has since been remediated, it is possible that additional material weaknesses may be identified.</w:t>
      </w:r>
    </w:p>
    <w:p>
      <w:pPr>
        <w:spacing w:after="0" w:line="74" w:lineRule="exact"/>
        <w:rPr>
          <w:sz w:val="20"/>
          <w:szCs w:val="20"/>
          <w:color w:val="auto"/>
        </w:rPr>
      </w:pPr>
    </w:p>
    <w:p>
      <w:pPr>
        <w:jc w:val="both"/>
        <w:ind w:right="120" w:firstLine="323"/>
        <w:spacing w:after="0" w:line="256" w:lineRule="auto"/>
        <w:rPr>
          <w:sz w:val="20"/>
          <w:szCs w:val="20"/>
          <w:color w:val="auto"/>
        </w:rPr>
      </w:pPr>
      <w:r>
        <w:rPr>
          <w:rFonts w:ascii="Times New Roman" w:cs="Times New Roman" w:eastAsia="Times New Roman" w:hAnsi="Times New Roman"/>
          <w:sz w:val="18"/>
          <w:szCs w:val="18"/>
          <w:color w:val="auto"/>
        </w:rPr>
        <w:t>If we discover additional weaknesses in our system of internal financial and accounting controls and procedures, our consolidated financial statements may contain material misstatements, and we could be required to restate our financial results.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79" w:lineRule="exact"/>
        <w:rPr>
          <w:sz w:val="20"/>
          <w:szCs w:val="20"/>
          <w:color w:val="auto"/>
        </w:rPr>
      </w:pPr>
    </w:p>
    <w:p>
      <w:pPr>
        <w:ind w:right="40" w:firstLine="323"/>
        <w:spacing w:after="0" w:line="256" w:lineRule="auto"/>
        <w:rPr>
          <w:sz w:val="20"/>
          <w:szCs w:val="20"/>
          <w:color w:val="auto"/>
        </w:rPr>
      </w:pPr>
      <w:r>
        <w:rPr>
          <w:rFonts w:ascii="Times New Roman" w:cs="Times New Roman" w:eastAsia="Times New Roman" w:hAnsi="Times New Roman"/>
          <w:sz w:val="18"/>
          <w:szCs w:val="18"/>
          <w:color w:val="auto"/>
        </w:rPr>
        <w:t>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additional lawsuits that could be costly to resolve and distract management’s attention, limit our ability to access the capital markets or cause our stock to be delisted from The Nasdaq Global Select Market. Failure to remedy any material weakness in our internal control over financial reporting, or to implement or maintain other effective control systems required of public companies, could also restrict our future access to the capital markets.</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The holders of the Series A Convertible Preferred Shares are entitled to vote up to 9.9% of the aggregate voting power of our then-outstanding common shares on an as converted basis or of the outstanding voting securities of the Company, and have rights to approve certain actions, which may allow such holders to exercise significant influence over matters requiring shareholder approval. Additionally, GPC Partners may exercise influence over us through their ability to designate a nominee for election to our board of directors.</w:t>
      </w:r>
    </w:p>
    <w:p>
      <w:pPr>
        <w:spacing w:after="0" w:line="71" w:lineRule="exact"/>
        <w:rPr>
          <w:sz w:val="20"/>
          <w:szCs w:val="20"/>
          <w:color w:val="auto"/>
        </w:rPr>
      </w:pPr>
    </w:p>
    <w:p>
      <w:pPr>
        <w:ind w:firstLine="323"/>
        <w:spacing w:after="0" w:line="259" w:lineRule="auto"/>
        <w:rPr>
          <w:sz w:val="20"/>
          <w:szCs w:val="20"/>
          <w:color w:val="auto"/>
        </w:rPr>
      </w:pPr>
      <w:r>
        <w:rPr>
          <w:rFonts w:ascii="Times New Roman" w:cs="Times New Roman" w:eastAsia="Times New Roman" w:hAnsi="Times New Roman"/>
          <w:sz w:val="18"/>
          <w:szCs w:val="18"/>
          <w:color w:val="auto"/>
        </w:rPr>
        <w:t>The holders of the Series A Preferred Shares are entitled to vote up to 9.9% of the aggregate voting power of the then-outstanding common shares on an as converted basis or of the outstanding voting securities of the Company with the holders of our common shares on all matters submitted for a vote of holders of common shares (voting together as one class). As a result, such holders may be able to exercise significant influence over all matters requiring shareholder approval.</w:t>
      </w:r>
    </w:p>
    <w:p>
      <w:pPr>
        <w:spacing w:after="0" w:line="74" w:lineRule="exact"/>
        <w:rPr>
          <w:sz w:val="20"/>
          <w:szCs w:val="20"/>
          <w:color w:val="auto"/>
        </w:rPr>
      </w:pPr>
    </w:p>
    <w:p>
      <w:pPr>
        <w:ind w:firstLine="323"/>
        <w:spacing w:after="0" w:line="253" w:lineRule="auto"/>
        <w:rPr>
          <w:sz w:val="20"/>
          <w:szCs w:val="20"/>
          <w:color w:val="auto"/>
        </w:rPr>
      </w:pPr>
      <w:r>
        <w:rPr>
          <w:rFonts w:ascii="Times New Roman" w:cs="Times New Roman" w:eastAsia="Times New Roman" w:hAnsi="Times New Roman"/>
          <w:sz w:val="18"/>
          <w:szCs w:val="18"/>
          <w:color w:val="auto"/>
        </w:rPr>
        <w:t>Pursuant to the Investment Agreement dated February 24, 2022, as amended on November 11, 2024 (as so amended, the “Investment Agreement”) by and between the Company and GPC Partners Investments (Thames) LP (“GPC Partners”), an affiliate of Gallatin Point Capital LLC, GPC Partners has the right to designate one candidate for nomination for election to our board of directors for so long as GPC Partners and its Permitted Transferees (as defined in the Investment Agreement) continue to beneficially own Series A Preferred Shares and/or common shares issued or issuable upon conversion of such Series A Preferred Shares that represent in the aggregate at least 50% of the number of common shares beneficially owned by the Investors, on an as-converted basis, as of the issuance date of the Series A Preferred Shares. Notwithstanding the fact that all directors are subject to fiduciary duties to us and to applicable law, the interests of the director designated by GPC Partners for nomination may differ from the interests of our security holders as a whole or of our other directors.</w:t>
      </w:r>
    </w:p>
    <w:p>
      <w:pPr>
        <w:spacing w:after="0" w:line="82" w:lineRule="exact"/>
        <w:rPr>
          <w:sz w:val="20"/>
          <w:szCs w:val="20"/>
          <w:color w:val="auto"/>
        </w:rPr>
      </w:pPr>
    </w:p>
    <w:p>
      <w:pPr>
        <w:ind w:firstLine="323"/>
        <w:spacing w:after="0" w:line="259" w:lineRule="auto"/>
        <w:rPr>
          <w:sz w:val="20"/>
          <w:szCs w:val="20"/>
          <w:color w:val="auto"/>
        </w:rPr>
      </w:pPr>
      <w:r>
        <w:rPr>
          <w:rFonts w:ascii="Times New Roman" w:cs="Times New Roman" w:eastAsia="Times New Roman" w:hAnsi="Times New Roman"/>
          <w:sz w:val="18"/>
          <w:szCs w:val="18"/>
          <w:color w:val="auto"/>
        </w:rPr>
        <w:t>Additionally, holders of the Series A Preferred Shares are entitled to a separate class vote with respect to amendments to the Company’s organizational documents that have an adverse effect on the Series A Preferred Shares, including authorizations or issuances by the Company of securities that are senior to or pari passu with the Series A Preferred Shares, increases or decreases in the number of authorized Series A Preferred Shares, or the issuance of any additional Series A Preferred Shares other than in payment of dividends on the outstanding Series A Preferred Shares.</w:t>
      </w:r>
    </w:p>
    <w:p>
      <w:pPr>
        <w:spacing w:after="0" w:line="74" w:lineRule="exact"/>
        <w:rPr>
          <w:sz w:val="20"/>
          <w:szCs w:val="20"/>
          <w:color w:val="auto"/>
        </w:rPr>
      </w:pPr>
    </w:p>
    <w:p>
      <w:pPr>
        <w:ind w:right="160" w:firstLine="323"/>
        <w:spacing w:after="0" w:line="280" w:lineRule="auto"/>
        <w:rPr>
          <w:sz w:val="20"/>
          <w:szCs w:val="20"/>
          <w:color w:val="auto"/>
        </w:rPr>
      </w:pPr>
      <w:r>
        <w:rPr>
          <w:rFonts w:ascii="Times New Roman" w:cs="Times New Roman" w:eastAsia="Times New Roman" w:hAnsi="Times New Roman"/>
          <w:sz w:val="18"/>
          <w:szCs w:val="18"/>
          <w:color w:val="auto"/>
        </w:rPr>
        <w:t>As a result, the holders of the Series A Preferred Shares may have the ability to influence the outcome of certain matters affecting our governance and capitalization.</w:t>
      </w:r>
    </w:p>
    <w:p>
      <w:pPr>
        <w:spacing w:after="0" w:line="51"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conversion of the Series A Preferred Shares into common shares would dilute the ownership of common shareholders and could adversely affect the market price of our common shares.</w:t>
      </w:r>
    </w:p>
    <w:p>
      <w:pPr>
        <w:spacing w:after="0" w:line="52" w:lineRule="exact"/>
        <w:rPr>
          <w:sz w:val="20"/>
          <w:szCs w:val="20"/>
          <w:color w:val="auto"/>
        </w:rPr>
      </w:pPr>
    </w:p>
    <w:p>
      <w:pPr>
        <w:ind w:right="400" w:firstLine="323"/>
        <w:spacing w:after="0" w:line="256" w:lineRule="auto"/>
        <w:rPr>
          <w:sz w:val="20"/>
          <w:szCs w:val="20"/>
          <w:color w:val="auto"/>
        </w:rPr>
      </w:pPr>
      <w:r>
        <w:rPr>
          <w:rFonts w:ascii="Times New Roman" w:cs="Times New Roman" w:eastAsia="Times New Roman" w:hAnsi="Times New Roman"/>
          <w:sz w:val="18"/>
          <w:szCs w:val="18"/>
          <w:color w:val="auto"/>
        </w:rPr>
        <w:t>The conversion of our Series A Preferred Shares into common shares or payment of dividends on the Series A Preferred Shares in common shares would dilute the ownership interest of existing holders of our common shares. On November 11, 2024, pursuant to an amendment to the Investment Agreement, we converted 37,500 Series A Preferred Shares with a liquidation value of $37.5 million, into 5,859,375 common shares. Any sale of these common shares, or additional common shares obtained following conversion of the Series A Preferred Shares or payment of dividends on the Series A Preferred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Shares in common shares, would increase the number of common shares available for public trading, and may adversely affect prevailing market prices of our common shares.</w:t>
      </w:r>
    </w:p>
    <w:p>
      <w:pPr>
        <w:spacing w:after="0" w:line="51" w:lineRule="exact"/>
        <w:rPr>
          <w:sz w:val="20"/>
          <w:szCs w:val="20"/>
          <w:color w:val="auto"/>
        </w:rPr>
      </w:pPr>
    </w:p>
    <w:p>
      <w:pPr>
        <w:ind w:right="8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Series A Preferred Shares have rights, preferences and privileges that are not held by, and are preferential to the rights of, our common shareholders, which could adversely affect our liquidity and financial condition.</w:t>
      </w:r>
    </w:p>
    <w:p>
      <w:pPr>
        <w:spacing w:after="0" w:line="52" w:lineRule="exact"/>
        <w:rPr>
          <w:sz w:val="20"/>
          <w:szCs w:val="20"/>
          <w:color w:val="auto"/>
        </w:rPr>
      </w:pPr>
    </w:p>
    <w:p>
      <w:pPr>
        <w:ind w:right="100" w:firstLine="323"/>
        <w:spacing w:after="0" w:line="254" w:lineRule="auto"/>
        <w:rPr>
          <w:sz w:val="20"/>
          <w:szCs w:val="20"/>
          <w:color w:val="auto"/>
        </w:rPr>
      </w:pPr>
      <w:r>
        <w:rPr>
          <w:rFonts w:ascii="Times New Roman" w:cs="Times New Roman" w:eastAsia="Times New Roman" w:hAnsi="Times New Roman"/>
          <w:sz w:val="18"/>
          <w:szCs w:val="18"/>
          <w:color w:val="auto"/>
        </w:rPr>
        <w:t>The holders of our Series A Preferred Shares have the right to receive a payment on account of the distribution of assets on any voluntary or involuntary liquidation, dissolution or winding up of the affairs of the Company before any payment may be made to holders of any other class or series of capital shares. In addition, dividends on the Series A Preferred Shares accrue and are cumulative at the initial rate of 7.0% of the $1,000 per share liquidation preference per annum, paid in cash, in-kind in common shares or in Series A Preferred Shares, at our election. Pursuant to the Amended and Restated Certificate of Designation pertaining to the Series A Preferred Shares, on October 1, 2029, and each five-year anniversary thereafter, the dividend rate on the liquidation preference will reset to a rate equal to the five-year U.S. treasury rate (calculated as set forth in the Certificate of Designations designating the Series A Preferred Shares (the “Certificate of Designations”)) plus 5.2%, up to a maximum dividend rate of 8.0%.</w:t>
      </w:r>
    </w:p>
    <w:p>
      <w:pPr>
        <w:spacing w:after="0" w:line="79" w:lineRule="exact"/>
        <w:rPr>
          <w:sz w:val="20"/>
          <w:szCs w:val="20"/>
          <w:color w:val="auto"/>
        </w:rPr>
      </w:pPr>
    </w:p>
    <w:p>
      <w:pPr>
        <w:ind w:right="100" w:firstLine="323"/>
        <w:spacing w:after="0" w:line="256" w:lineRule="auto"/>
        <w:rPr>
          <w:sz w:val="20"/>
          <w:szCs w:val="20"/>
          <w:color w:val="auto"/>
        </w:rPr>
      </w:pPr>
      <w:r>
        <w:rPr>
          <w:rFonts w:ascii="Times New Roman" w:cs="Times New Roman" w:eastAsia="Times New Roman" w:hAnsi="Times New Roman"/>
          <w:sz w:val="18"/>
          <w:szCs w:val="18"/>
          <w:color w:val="auto"/>
        </w:rPr>
        <w:t>The holders of the Series A Preferred Shares also have certain repurchase rights. Upon prior written notice of certain change of control events (a “Fundamental Change”), each holder of outstanding Series A Preferred Shares may, at its election, (i) effective as of immediately prior to the Fundamental Change, convert all or a portion of its Series A Preferred Shares into common shares, or (ii) require the Company to repurchase any or all of such holder’s Series A Preferred Shares in cash at a purchase price per Series A Preferred Share equal to the liquidation preference of such Series A Preferred Share plus accrued and unpaid dividends.</w:t>
      </w:r>
    </w:p>
    <w:p>
      <w:pPr>
        <w:spacing w:after="0" w:line="79" w:lineRule="exact"/>
        <w:rPr>
          <w:sz w:val="20"/>
          <w:szCs w:val="20"/>
          <w:color w:val="auto"/>
        </w:rPr>
      </w:pPr>
    </w:p>
    <w:p>
      <w:pPr>
        <w:ind w:firstLine="323"/>
        <w:spacing w:after="0" w:line="256" w:lineRule="auto"/>
        <w:rPr>
          <w:sz w:val="20"/>
          <w:szCs w:val="20"/>
          <w:color w:val="auto"/>
        </w:rPr>
      </w:pPr>
      <w:r>
        <w:rPr>
          <w:rFonts w:ascii="Times New Roman" w:cs="Times New Roman" w:eastAsia="Times New Roman" w:hAnsi="Times New Roman"/>
          <w:sz w:val="18"/>
          <w:szCs w:val="18"/>
          <w:color w:val="auto"/>
        </w:rPr>
        <w:t>These dividend and share repurchase obligations could impact our liquidity and reduce the amount of cash flows available for working capital, capital expenditures, growth opportunities, acquisitions and other general corporate purposes, as well as for the payment of dividends to our common shareholders. Our obligations to the holders of the Series A Preferred Shares could also limit our ability to obtain additional financing, which could have an adverse effect on our financial condition. The preferential rights could also result in divergent interests between the holders of the Series A Preferred Shares and common shareholders.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bye-laws permit non-employee members of our board of directors and their affiliates to compete with us, which may result in conflicts of interest.</w:t>
      </w:r>
    </w:p>
    <w:p>
      <w:pPr>
        <w:spacing w:after="0" w:line="119" w:lineRule="exact"/>
        <w:rPr>
          <w:sz w:val="20"/>
          <w:szCs w:val="20"/>
          <w:color w:val="auto"/>
        </w:rPr>
      </w:pPr>
    </w:p>
    <w:p>
      <w:pPr>
        <w:ind w:right="20" w:firstLine="323"/>
        <w:spacing w:after="0" w:line="253" w:lineRule="auto"/>
        <w:rPr>
          <w:sz w:val="20"/>
          <w:szCs w:val="20"/>
          <w:color w:val="auto"/>
        </w:rPr>
      </w:pPr>
      <w:r>
        <w:rPr>
          <w:rFonts w:ascii="Times New Roman" w:cs="Times New Roman" w:eastAsia="Times New Roman" w:hAnsi="Times New Roman"/>
          <w:sz w:val="18"/>
          <w:szCs w:val="18"/>
          <w:color w:val="auto"/>
        </w:rPr>
        <w:t>Our bye-laws provide that members of our board of directors (other than those who are our officers, managers or employees) and their affiliates do not have any duty to (i) communicate or present to the Company any investment or business opportunity or prospective transaction or arrangement in which the Company may have any interest or expectancy or (ii) refrain from engaging, directly or indirectly, in the same business activities or similar business activities or lines of business in which we operate. Our bye-laws will not restrict our non-employee directors, or their affiliates from acquiring and holding interests in businesses that compete directly or indirectly with us. Our non-employee directors and their affiliates may also pursue acquisition opportunities that may be complementary to our business and, as a result, those acquisition opportunities may not be available to us. These potential conflicts of interest could have a material adverse effect on our business, financial condition, results of operations or prospects if we are unable to pursue attractive corporate opportunities because they are allocated by our non-employee directors to themselves or their affiliates instead of being presented to us.</w:t>
      </w:r>
    </w:p>
    <w:p>
      <w:pPr>
        <w:spacing w:after="0" w:line="78"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amount of dividends that we may pay to our common shareholders is subject to restrictions pursuant to the terms of the Series A Preferred Shares, and we cannot assure you that we will declare or pay dividends on our common shares in the future.</w:t>
      </w:r>
    </w:p>
    <w:p>
      <w:pPr>
        <w:spacing w:after="0" w:line="52" w:lineRule="exact"/>
        <w:rPr>
          <w:sz w:val="20"/>
          <w:szCs w:val="20"/>
          <w:color w:val="auto"/>
        </w:rPr>
      </w:pPr>
    </w:p>
    <w:p>
      <w:pPr>
        <w:ind w:right="20" w:firstLine="323"/>
        <w:spacing w:after="0" w:line="255" w:lineRule="auto"/>
        <w:rPr>
          <w:sz w:val="20"/>
          <w:szCs w:val="20"/>
          <w:color w:val="auto"/>
        </w:rPr>
      </w:pPr>
      <w:r>
        <w:rPr>
          <w:rFonts w:ascii="Times New Roman" w:cs="Times New Roman" w:eastAsia="Times New Roman" w:hAnsi="Times New Roman"/>
          <w:sz w:val="18"/>
          <w:szCs w:val="18"/>
          <w:color w:val="auto"/>
        </w:rPr>
        <w:t>The Certificate of Designations limits our ability to pay dividends to our shareholders. If we pay cash dividends of more than $0.05 per common share per quarter, without the consent of at least the majority of the Series A Preferred Shares then outstanding, we will be required to reduce the conversion price of the Series A Preferred Shares. Additionally, the payment of cash dividends in excess of $0.10 per common share per quarter is not permitted if the dividends on the Series A Preferred Shares for that quarter are not paid in cash, unless the Company’s U.S.-based insurance subsidiaries satisfy certain capital requirements. Share dividends payable on the common shares also trigger a reduction of the conversion price applicable to the Series A Preferred Shares.</w:t>
      </w:r>
    </w:p>
    <w:p>
      <w:pPr>
        <w:spacing w:after="0" w:line="78" w:lineRule="exact"/>
        <w:rPr>
          <w:sz w:val="20"/>
          <w:szCs w:val="20"/>
          <w:color w:val="auto"/>
        </w:rPr>
      </w:pPr>
    </w:p>
    <w:p>
      <w:pPr>
        <w:ind w:right="20" w:firstLine="323"/>
        <w:spacing w:after="0" w:line="255" w:lineRule="auto"/>
        <w:rPr>
          <w:sz w:val="20"/>
          <w:szCs w:val="20"/>
          <w:color w:val="auto"/>
        </w:rPr>
      </w:pPr>
      <w:r>
        <w:rPr>
          <w:rFonts w:ascii="Times New Roman" w:cs="Times New Roman" w:eastAsia="Times New Roman" w:hAnsi="Times New Roman"/>
          <w:sz w:val="18"/>
          <w:szCs w:val="18"/>
          <w:color w:val="auto"/>
        </w:rPr>
        <w:t>Additionally, the declaration, payment and amount of dividends is further subject to the discretion of our board of directors. Our board of directors may take into account a variety of factors when determining whether to declare any dividends, including (1) our financial condition, liquidity, results of operations (including our ability to generate cash flow in excess of expenses and our expected or actual net income), retained earnings and collateral and capital requirements, (2) general business conditions, (3) legal, tax and regulatory limitations, (4) contractual prohibitions and other restrictions, in addition to those related to our Series A Preferred Shares, (5) the effect of a dividend or dividends upon our financial strength ratings and (6) any other factors that our board of directors deems relevant. See also “Item 5. Market For Registrant’s Common Equity, Related Stockholder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8"/>
          <w:szCs w:val="18"/>
          <w:color w:val="auto"/>
        </w:rPr>
        <w:t>Matters and Issuer Purchases Of Equity Securities - Dividends.” We cannot assure you that we will continue to pay dividends in the future, or that the amount of any such dividend will not decline from prior dividends we have paid.</w:t>
      </w:r>
    </w:p>
    <w:p>
      <w:pPr>
        <w:spacing w:after="0" w:line="51"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depend upon dividends and distributions from our subsidiaries, and we may be unable to distribute dividends to our shareholders to the extent we do not receive dividends from our subsidiaries.</w:t>
      </w:r>
    </w:p>
    <w:p>
      <w:pPr>
        <w:spacing w:after="0" w:line="52" w:lineRule="exact"/>
        <w:rPr>
          <w:sz w:val="20"/>
          <w:szCs w:val="20"/>
          <w:color w:val="auto"/>
        </w:rPr>
      </w:pPr>
    </w:p>
    <w:p>
      <w:pPr>
        <w:ind w:right="40" w:firstLine="323"/>
        <w:spacing w:after="0" w:line="256" w:lineRule="auto"/>
        <w:rPr>
          <w:sz w:val="20"/>
          <w:szCs w:val="20"/>
          <w:color w:val="auto"/>
        </w:rPr>
      </w:pPr>
      <w:r>
        <w:rPr>
          <w:rFonts w:ascii="Times New Roman" w:cs="Times New Roman" w:eastAsia="Times New Roman" w:hAnsi="Times New Roman"/>
          <w:sz w:val="18"/>
          <w:szCs w:val="18"/>
          <w:color w:val="auto"/>
        </w:rPr>
        <w:t>We are a holding company that has no substantial operations of our own. Accordingly, we rely primarily on cash dividends or distributions from our operating subsidiaries to pay our operating expenses and any dividends that we may pay to shareholders. The payment of dividends by our insurance subsidiaries is limited under the laws and regulations of the applicable domicile. These regulations stipulate the maximum amount of annual dividends or other distributions available to shareholders without prior approval of the relevant regulatory authorities. As a result of such regulations, we may not be able to pay our operating expenses as they become due and our payment of future dividends to shareholders may be limited.</w:t>
      </w:r>
    </w:p>
    <w:p>
      <w:pPr>
        <w:spacing w:after="0" w:line="79" w:lineRule="exact"/>
        <w:rPr>
          <w:sz w:val="20"/>
          <w:szCs w:val="20"/>
          <w:color w:val="auto"/>
        </w:rPr>
      </w:pPr>
    </w:p>
    <w:p>
      <w:pPr>
        <w:ind w:firstLine="323"/>
        <w:spacing w:after="0" w:line="252" w:lineRule="auto"/>
        <w:rPr>
          <w:sz w:val="20"/>
          <w:szCs w:val="20"/>
          <w:color w:val="auto"/>
        </w:rPr>
      </w:pPr>
      <w:r>
        <w:rPr>
          <w:rFonts w:ascii="Times New Roman" w:cs="Times New Roman" w:eastAsia="Times New Roman" w:hAnsi="Times New Roman"/>
          <w:sz w:val="18"/>
          <w:szCs w:val="18"/>
          <w:color w:val="auto"/>
        </w:rPr>
        <w:t>The payment of dividends by our subsidiaries to us is limited by statute. In general, the laws and regulations applicable to our U.S. insurance subsidiaries limit the aggregate amount of dividends or other distributions that they may declare or pay within any 12 month period without advance regulatory approval. In Ohio, the domiciliary state of Falls Lake National, Stonewood Insurance, James River Insurance and James River Casualty, this limitation is the greater of statutory net income for the preceding calendar year or 10% of the statutory surplus at the end of the preceding calendar year, provided that such dividends may only be paid out of earned surplus of each of the companies, without obtaining regulatory approval. In California, the domiciliary state of Falls Lake Fire and Casualty, this limitation is the greater of statutory net income for the preceding calendar year or 10% of the statutory surplus at the end of the preceding calendar year, provided that such dividends may only be paid out of unassigned surplus without obtaining regulatory approval. In addition, insurance regulators have broad powers to prevent reduction of statutory surplus to inadequate levels and could refuse to permit the payment of dividends calculated under any applicable formula. See “Item 1. Business — U.S. Insurance Regulation — State Regulation” for more information. In addition, dividends paid by our U.S. subsidiaries to our U.K. holding company are subject to a 5% withholding tax by the IRS. Under U.K. domestic law, no withholding tax is applied to dividends paid by U.K. tax resident companies.</w:t>
      </w:r>
    </w:p>
    <w:p>
      <w:pPr>
        <w:spacing w:after="0" w:line="82" w:lineRule="exact"/>
        <w:rPr>
          <w:sz w:val="20"/>
          <w:szCs w:val="20"/>
          <w:color w:val="auto"/>
        </w:rPr>
      </w:pPr>
    </w:p>
    <w:p>
      <w:pPr>
        <w:ind w:right="280" w:firstLine="323"/>
        <w:spacing w:after="0" w:line="280" w:lineRule="auto"/>
        <w:rPr>
          <w:sz w:val="20"/>
          <w:szCs w:val="20"/>
          <w:color w:val="auto"/>
        </w:rPr>
      </w:pPr>
      <w:r>
        <w:rPr>
          <w:rFonts w:ascii="Times New Roman" w:cs="Times New Roman" w:eastAsia="Times New Roman" w:hAnsi="Times New Roman"/>
          <w:sz w:val="18"/>
          <w:szCs w:val="18"/>
          <w:color w:val="auto"/>
        </w:rPr>
        <w:t>The inability of our subsidiaries to pay dividends or make distributions to us, including as a result of regulatory or other restrictions or capital needs, may prevent us from paying our expenses or paying dividends to our shareholders.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paid by our U.S. subsidiaries to James River UK may not be eligible for benefits under the U.S.-U.K. income tax treaty.</w:t>
      </w:r>
    </w:p>
    <w:p>
      <w:pPr>
        <w:spacing w:after="0" w:line="119" w:lineRule="exact"/>
        <w:rPr>
          <w:sz w:val="20"/>
          <w:szCs w:val="20"/>
          <w:color w:val="auto"/>
        </w:rPr>
      </w:pPr>
    </w:p>
    <w:p>
      <w:pPr>
        <w:ind w:right="80" w:firstLine="323"/>
        <w:spacing w:after="0" w:line="256" w:lineRule="auto"/>
        <w:rPr>
          <w:sz w:val="20"/>
          <w:szCs w:val="20"/>
          <w:color w:val="auto"/>
        </w:rPr>
      </w:pPr>
      <w:r>
        <w:rPr>
          <w:rFonts w:ascii="Times New Roman" w:cs="Times New Roman" w:eastAsia="Times New Roman" w:hAnsi="Times New Roman"/>
          <w:sz w:val="18"/>
          <w:szCs w:val="18"/>
          <w:color w:val="auto"/>
        </w:rPr>
        <w:t>Under U.S. federal income tax law, dividends paid by a U.S. corporation to a non-U.S. shareholder are generally subject to a 30% withholding tax, unless reduced by treaty. The income tax treaty between the United Kingdom and the United States (the “U.K. Treaty”) reduces the rate of withholding tax on certain dividends to 5%. Were the IRS to contend successfully that James River UK is not eligible for benefits under the U.K. Treaty, any dividends paid by James River Group, our U.S. holding company, to James River UK would be subject to the 30% withholding tax. Such a result would substantially reduce the amount of dividends that our shareholder may receive.</w:t>
      </w:r>
    </w:p>
    <w:p>
      <w:pPr>
        <w:spacing w:after="0" w:line="75"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misleading or unfavorable research about our business, our common share price and trading volume could decline.</w:t>
      </w:r>
    </w:p>
    <w:p>
      <w:pPr>
        <w:spacing w:after="0" w:line="52" w:lineRule="exact"/>
        <w:rPr>
          <w:sz w:val="20"/>
          <w:szCs w:val="20"/>
          <w:color w:val="auto"/>
        </w:rPr>
      </w:pPr>
    </w:p>
    <w:p>
      <w:pPr>
        <w:ind w:right="80" w:firstLine="323"/>
        <w:spacing w:after="0" w:line="259" w:lineRule="auto"/>
        <w:rPr>
          <w:sz w:val="20"/>
          <w:szCs w:val="20"/>
          <w:color w:val="auto"/>
        </w:rPr>
      </w:pPr>
      <w:r>
        <w:rPr>
          <w:rFonts w:ascii="Times New Roman" w:cs="Times New Roman" w:eastAsia="Times New Roman" w:hAnsi="Times New Roman"/>
          <w:sz w:val="18"/>
          <w:szCs w:val="18"/>
          <w:color w:val="auto"/>
        </w:rPr>
        <w:t>The trading market for our common shares depends in part on the research and reports that securities or industry analysts publish about our business. If one or more of these analysts downgrades our shares or publishes misleading or unfavorable research about our business, our share price would likely decline. If one or more of these analysts ceases coverage of our Company or fails to publish reports on us regularly, demand for our shares could decrease, which could cause our share price or trading volume to decline.</w:t>
      </w:r>
    </w:p>
    <w:p>
      <w:pPr>
        <w:spacing w:after="0" w:line="70"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shares, or the possibility of such sales, may cause the trading price of our common shares to decline and could impair our ability to raise capital through subsequent equity offerings.</w:t>
      </w:r>
    </w:p>
    <w:p>
      <w:pPr>
        <w:spacing w:after="0" w:line="52" w:lineRule="exact"/>
        <w:rPr>
          <w:sz w:val="20"/>
          <w:szCs w:val="20"/>
          <w:color w:val="auto"/>
        </w:rPr>
      </w:pPr>
    </w:p>
    <w:p>
      <w:pPr>
        <w:ind w:right="240" w:firstLine="323"/>
        <w:spacing w:after="0" w:line="280" w:lineRule="auto"/>
        <w:rPr>
          <w:sz w:val="20"/>
          <w:szCs w:val="20"/>
          <w:color w:val="auto"/>
        </w:rPr>
      </w:pPr>
      <w:r>
        <w:rPr>
          <w:rFonts w:ascii="Times New Roman" w:cs="Times New Roman" w:eastAsia="Times New Roman" w:hAnsi="Times New Roman"/>
          <w:sz w:val="18"/>
          <w:szCs w:val="18"/>
          <w:color w:val="auto"/>
        </w:rPr>
        <w:t>Future sales of substantial amounts of our common shares in the public market, or the perception that these sales could occur, could cause the market price of our common shares to decline and impair our ability to raise capital through the sale of additional shares.</w:t>
      </w:r>
    </w:p>
    <w:p>
      <w:pPr>
        <w:spacing w:after="0" w:line="55" w:lineRule="exact"/>
        <w:rPr>
          <w:sz w:val="20"/>
          <w:szCs w:val="20"/>
          <w:color w:val="auto"/>
        </w:rPr>
      </w:pPr>
    </w:p>
    <w:p>
      <w:pPr>
        <w:ind w:right="80" w:firstLine="323"/>
        <w:spacing w:after="0" w:line="264" w:lineRule="auto"/>
        <w:rPr>
          <w:sz w:val="20"/>
          <w:szCs w:val="20"/>
          <w:color w:val="auto"/>
        </w:rPr>
      </w:pPr>
      <w:r>
        <w:rPr>
          <w:rFonts w:ascii="Times New Roman" w:cs="Times New Roman" w:eastAsia="Times New Roman" w:hAnsi="Times New Roman"/>
          <w:sz w:val="18"/>
          <w:szCs w:val="18"/>
          <w:color w:val="auto"/>
        </w:rPr>
        <w:t>In the future, we may issue additional common shares or other equity or debt securities convertible into common shares in connection with a financing, acquisition or employee arrangement or otherwise. Any of these issuances could result in substantial dilution to our existing shareholders and could cause the trading price of our common shares to decline.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bye-laws and provisions of Bermuda law may impede or discourage a change of control transaction, which could deprive our investors of the opportunity to receive a premium for their shares.</w:t>
      </w:r>
    </w:p>
    <w:p>
      <w:pPr>
        <w:spacing w:after="0" w:line="52" w:lineRule="exact"/>
        <w:rPr>
          <w:sz w:val="20"/>
          <w:szCs w:val="20"/>
          <w:color w:val="auto"/>
        </w:rPr>
      </w:pPr>
    </w:p>
    <w:p>
      <w:pPr>
        <w:ind w:right="260" w:firstLine="323"/>
        <w:spacing w:after="0" w:line="264" w:lineRule="auto"/>
        <w:rPr>
          <w:sz w:val="20"/>
          <w:szCs w:val="20"/>
          <w:color w:val="auto"/>
        </w:rPr>
      </w:pPr>
      <w:r>
        <w:rPr>
          <w:rFonts w:ascii="Times New Roman" w:cs="Times New Roman" w:eastAsia="Times New Roman" w:hAnsi="Times New Roman"/>
          <w:sz w:val="18"/>
          <w:szCs w:val="18"/>
          <w:color w:val="auto"/>
        </w:rPr>
        <w:t>Our bye-laws and provisions of Bermuda law to which we are subject contain provisions that could discourage, delay or prevent “change of control” transactions or changes in our board of directors and management that certain shareholders may view as beneficial or advantageous. These provisions include, among others:</w:t>
      </w:r>
    </w:p>
    <w:p>
      <w:pPr>
        <w:spacing w:after="0" w:line="69" w:lineRule="exact"/>
        <w:rPr>
          <w:sz w:val="20"/>
          <w:szCs w:val="20"/>
          <w:color w:val="auto"/>
        </w:rPr>
      </w:pPr>
    </w:p>
    <w:p>
      <w:pPr>
        <w:ind w:left="660" w:right="380" w:hanging="330"/>
        <w:spacing w:after="0" w:line="280" w:lineRule="auto"/>
        <w:tabs>
          <w:tab w:leader="none" w:pos="57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authority to issue preferred shares without shareholder approval, which could be used to dilute the ownership of a potential hostile acquirer;</w:t>
      </w:r>
    </w:p>
    <w:p>
      <w:pPr>
        <w:spacing w:after="0" w:line="54"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may only remove directors for cause; and</w:t>
      </w:r>
    </w:p>
    <w:p>
      <w:pPr>
        <w:spacing w:after="0" w:line="115" w:lineRule="exact"/>
        <w:rPr>
          <w:rFonts w:ascii="Times New Roman" w:cs="Times New Roman" w:eastAsia="Times New Roman" w:hAnsi="Times New Roman"/>
          <w:sz w:val="18"/>
          <w:szCs w:val="18"/>
          <w:color w:val="auto"/>
        </w:rPr>
      </w:pPr>
    </w:p>
    <w:p>
      <w:pPr>
        <w:ind w:left="580" w:hanging="250"/>
        <w:spacing w:after="0"/>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advance notice requirements for shareholders with respect to director nominations and actions to be taken at annual meetings.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foregoing factors could impede a merger, takeover or other business combination, which could reduce the market value of our shares.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repurchase your common shares without your consent.</w:t>
      </w:r>
    </w:p>
    <w:p>
      <w:pPr>
        <w:spacing w:after="0" w:line="119" w:lineRule="exact"/>
        <w:rPr>
          <w:sz w:val="20"/>
          <w:szCs w:val="20"/>
          <w:color w:val="auto"/>
        </w:rPr>
      </w:pPr>
    </w:p>
    <w:p>
      <w:pPr>
        <w:ind w:firstLine="323"/>
        <w:spacing w:after="0" w:line="259" w:lineRule="auto"/>
        <w:rPr>
          <w:sz w:val="20"/>
          <w:szCs w:val="20"/>
          <w:color w:val="auto"/>
        </w:rPr>
      </w:pPr>
      <w:r>
        <w:rPr>
          <w:rFonts w:ascii="Times New Roman" w:cs="Times New Roman" w:eastAsia="Times New Roman" w:hAnsi="Times New Roman"/>
          <w:sz w:val="18"/>
          <w:szCs w:val="18"/>
          <w:color w:val="auto"/>
        </w:rPr>
        <w:t>Under our bye-laws and subject to Bermuda law, we have the option, but not the obligation, to require a shareholder to sell to us at fair market value the minimum number of common shares which is necessary to avoid or cure any adverse tax consequences or materially adverse legal or regulatory treatment to us, our subsidiaries or our shareholders, if our board of directors reasonably determines, in good faith, that failure to exercise this option would result in such adverse consequences or treatment.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Bermuda law differs from the laws in effect in the United States and may afford less protection to holders of our shares.</w:t>
      </w:r>
    </w:p>
    <w:p>
      <w:pPr>
        <w:spacing w:after="0" w:line="119" w:lineRule="exact"/>
        <w:rPr>
          <w:sz w:val="20"/>
          <w:szCs w:val="20"/>
          <w:color w:val="auto"/>
        </w:rPr>
      </w:pPr>
    </w:p>
    <w:p>
      <w:pPr>
        <w:ind w:right="20" w:firstLine="323"/>
        <w:spacing w:after="0" w:line="252" w:lineRule="auto"/>
        <w:rPr>
          <w:sz w:val="20"/>
          <w:szCs w:val="20"/>
          <w:color w:val="auto"/>
        </w:rPr>
      </w:pPr>
      <w:r>
        <w:rPr>
          <w:rFonts w:ascii="Times New Roman" w:cs="Times New Roman" w:eastAsia="Times New Roman" w:hAnsi="Times New Roman"/>
          <w:sz w:val="18"/>
          <w:szCs w:val="18"/>
          <w:color w:val="auto"/>
        </w:rPr>
        <w:t>We are organized under the laws of Bermuda. As a result, our corporate affairs are governed by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Class actions are not available under Bermuda law. The circumstances in which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minority shareholders or, for instance, where an act requires the approval of a greater percentage of the company’s shareholders than that which actually approved it.</w:t>
      </w:r>
    </w:p>
    <w:p>
      <w:pPr>
        <w:spacing w:after="0" w:line="82" w:lineRule="exact"/>
        <w:rPr>
          <w:sz w:val="20"/>
          <w:szCs w:val="20"/>
          <w:color w:val="auto"/>
        </w:rPr>
      </w:pPr>
    </w:p>
    <w:p>
      <w:pPr>
        <w:ind w:right="20" w:firstLine="323"/>
        <w:spacing w:after="0" w:line="253" w:lineRule="auto"/>
        <w:rPr>
          <w:sz w:val="20"/>
          <w:szCs w:val="20"/>
          <w:color w:val="auto"/>
        </w:rPr>
      </w:pPr>
      <w:r>
        <w:rPr>
          <w:rFonts w:ascii="Times New Roman" w:cs="Times New Roman" w:eastAsia="Times New Roman" w:hAnsi="Times New Roman"/>
          <w:sz w:val="18"/>
          <w:szCs w:val="18"/>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bye-laws and as permitted by Bermuda law, each shareholder has waived any claim or right of action against our directors or officers for any action taken by directors or officers in the performance of their duties, except for actions involving fraud or willful misconduct. In addition, the rights of holders of our common shares and the fiduciary responsibilities of our directors under Bermuda law are not as clearly established as under statutes or judicial precedent in existence in jurisdictions in the United States, particularly the State of Delaware. Therefore, holders of our common shares may have more difficulty protecting their interests than would shareholders of a corporation incorporated in a jurisdiction within the United States.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regulatory limitations on the ownership and transfer of our common shares.</w:t>
      </w:r>
    </w:p>
    <w:p>
      <w:pPr>
        <w:spacing w:after="0" w:line="119" w:lineRule="exact"/>
        <w:rPr>
          <w:sz w:val="20"/>
          <w:szCs w:val="20"/>
          <w:color w:val="auto"/>
        </w:rPr>
      </w:pPr>
    </w:p>
    <w:p>
      <w:pPr>
        <w:ind w:right="20" w:firstLine="323"/>
        <w:spacing w:after="0" w:line="253" w:lineRule="auto"/>
        <w:rPr>
          <w:sz w:val="20"/>
          <w:szCs w:val="20"/>
          <w:color w:val="auto"/>
        </w:rPr>
      </w:pPr>
      <w:r>
        <w:rPr>
          <w:rFonts w:ascii="Times New Roman" w:cs="Times New Roman" w:eastAsia="Times New Roman" w:hAnsi="Times New Roman"/>
          <w:sz w:val="18"/>
          <w:szCs w:val="18"/>
          <w:color w:val="auto"/>
        </w:rPr>
        <w:t>Common shares may be offered or sold in Bermuda only in compliance with the provisions of the Investment Business Act 2003 and the Exchange Control Act 1972 and related regulations of Bermuda, which regulate the sale of securities in Bermuda. In addition, the permission of the BMA is required under the provisions of the Exchange Control Act 1972 and related regulations for all issuances and transfers of shares of Bermuda companies to or from a non-resident of Bermuda for exchange control purposes, other than where the BMA has granted a general permission. The BMA, in its notice to the public dated June 1, 2005 has granted a general permission for the issue and subsequent transfer of any securities of a Bermuda company from and/or to a non-resident of Bermuda for exchange control purposes for so long as any “equity securities” of such company are listed on an appointed stock exchange, which includes the NASDAQ Stock Market. This general permission will apply to our common shares, but would cease to apply if we were to cease to be listed on the NASDAQ Stock Market.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80" w:firstLine="323"/>
        <w:spacing w:after="0" w:line="264" w:lineRule="auto"/>
        <w:rPr>
          <w:sz w:val="20"/>
          <w:szCs w:val="20"/>
          <w:color w:val="auto"/>
        </w:rPr>
      </w:pPr>
      <w:r>
        <w:rPr>
          <w:rFonts w:ascii="Times New Roman" w:cs="Times New Roman" w:eastAsia="Times New Roman" w:hAnsi="Times New Roman"/>
          <w:sz w:val="18"/>
          <w:szCs w:val="18"/>
          <w:color w:val="auto"/>
        </w:rPr>
        <w:t>In connection with the IPO, we received consent from the BMA to issue and transfer freely any of our shares, options, warrants, depository receipts, rights loan notes, debt instruments or other securities to and among persons who are either residents or non-residents of Bermuda for exchange control purposes.</w:t>
      </w:r>
    </w:p>
    <w:p>
      <w:pPr>
        <w:spacing w:after="0" w:line="69" w:lineRule="exact"/>
        <w:rPr>
          <w:sz w:val="20"/>
          <w:szCs w:val="20"/>
          <w:color w:val="auto"/>
        </w:rPr>
      </w:pPr>
    </w:p>
    <w:p>
      <w:pPr>
        <w:ind w:right="40" w:firstLine="323"/>
        <w:spacing w:after="0" w:line="256" w:lineRule="auto"/>
        <w:rPr>
          <w:sz w:val="20"/>
          <w:szCs w:val="20"/>
          <w:color w:val="auto"/>
        </w:rPr>
      </w:pPr>
      <w:r>
        <w:rPr>
          <w:rFonts w:ascii="Times New Roman" w:cs="Times New Roman" w:eastAsia="Times New Roman" w:hAnsi="Times New Roman"/>
          <w:sz w:val="18"/>
          <w:szCs w:val="18"/>
          <w:color w:val="auto"/>
        </w:rPr>
        <w:t>Except in connection with the settlement of trades or transactions entered into through the facilities of the NASDAQ Stock Market, our board of directors may generally require any shareholder or any person proposing to acquire our common shares to provide the information required under our bye-laws. If any such shareholder or proposed acquiror does not provide such information, or if our board of directors has reason to believe that any certification or other information provided pursuant to any such request is inaccurate or incomplete, our board of directors may decline to register any transfer or to effect any issuance or purchase of our common shares to which such request is related.</w:t>
      </w:r>
    </w:p>
    <w:p>
      <w:pPr>
        <w:spacing w:after="0" w:line="79" w:lineRule="exact"/>
        <w:rPr>
          <w:sz w:val="20"/>
          <w:szCs w:val="20"/>
          <w:color w:val="auto"/>
        </w:rPr>
      </w:pPr>
    </w:p>
    <w:p>
      <w:pPr>
        <w:ind w:right="240" w:firstLine="323"/>
        <w:spacing w:after="0" w:line="254" w:lineRule="auto"/>
        <w:rPr>
          <w:sz w:val="20"/>
          <w:szCs w:val="20"/>
          <w:color w:val="auto"/>
        </w:rPr>
      </w:pPr>
      <w:r>
        <w:rPr>
          <w:rFonts w:ascii="Times New Roman" w:cs="Times New Roman" w:eastAsia="Times New Roman" w:hAnsi="Times New Roman"/>
          <w:sz w:val="18"/>
          <w:szCs w:val="18"/>
          <w:color w:val="auto"/>
        </w:rPr>
        <w:t>In addition, the insurance holding company laws and regulations of the states in which our insurance companies are domiciled generally require that, before a person can acquire direct or indirect control of an insurer domiciled in the state, and in some cases prior to divesting its control, prior written approval must be obtained from the insurer’s domiciliary state insurance regulator. These laws may discourage potential acquisition proposals and may delay, deter or prevent an investment in or a change of control involving us, or one or more of our regulated subsidiaries, including transactions that our management and some or all of shareholders might consider desirable.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the Company’s common shares.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rely on our systems and employees, and those of certain third-party vendors and service providers in conducting our operations, and certain failures, including internal or external fraud, operational errors, systems malfunctions, or cyber-security incidents, could materially adversely affect our operations.</w:t>
      </w:r>
    </w:p>
    <w:p>
      <w:pPr>
        <w:spacing w:after="0" w:line="66" w:lineRule="exact"/>
        <w:rPr>
          <w:sz w:val="20"/>
          <w:szCs w:val="20"/>
          <w:color w:val="auto"/>
        </w:rPr>
      </w:pPr>
    </w:p>
    <w:p>
      <w:pPr>
        <w:ind w:right="20" w:firstLine="323"/>
        <w:spacing w:after="0" w:line="256" w:lineRule="auto"/>
        <w:rPr>
          <w:sz w:val="20"/>
          <w:szCs w:val="20"/>
          <w:color w:val="auto"/>
        </w:rPr>
      </w:pPr>
      <w:r>
        <w:rPr>
          <w:rFonts w:ascii="Times New Roman" w:cs="Times New Roman" w:eastAsia="Times New Roman" w:hAnsi="Times New Roman"/>
          <w:sz w:val="18"/>
          <w:szCs w:val="18"/>
          <w:color w:val="auto"/>
        </w:rPr>
        <w:t>We are exposed to many types of operational risk, including the risk of fraud by employees and outsiders, clerical and recordkeeping errors and computer or telecommunications systems malfunctions. Our business depends on our ability to process a large number of increasingly complex transactions. If any of our operational, accounting, or other data processing systems fail or have other significant shortcomings, we could be materially adversely affected. Similarly, we depend on our employees and could be materially adversely affected if one or more of our employees causes a significant operational breakdown or failure, either as a result of human error, intentional sabotage or fraudulent manipulation of our operations or systems.</w:t>
      </w:r>
    </w:p>
    <w:p>
      <w:pPr>
        <w:spacing w:after="0" w:line="79" w:lineRule="exact"/>
        <w:rPr>
          <w:sz w:val="20"/>
          <w:szCs w:val="20"/>
          <w:color w:val="auto"/>
        </w:rPr>
      </w:pPr>
    </w:p>
    <w:p>
      <w:pPr>
        <w:jc w:val="both"/>
        <w:ind w:right="400" w:firstLine="323"/>
        <w:spacing w:after="0" w:line="259" w:lineRule="auto"/>
        <w:rPr>
          <w:sz w:val="20"/>
          <w:szCs w:val="20"/>
          <w:color w:val="auto"/>
        </w:rPr>
      </w:pPr>
      <w:r>
        <w:rPr>
          <w:rFonts w:ascii="Times New Roman" w:cs="Times New Roman" w:eastAsia="Times New Roman" w:hAnsi="Times New Roman"/>
          <w:sz w:val="18"/>
          <w:szCs w:val="18"/>
          <w:color w:val="auto"/>
        </w:rPr>
        <w:t>Third parties with whom we do business, including vendors that provide services or security solutions for our operations, could also be sources of operational and information security risk to us, including from breakdowns, failures, or capacity constraints of their own systems or employees. Any of these occurrences could diminish our ability to operate our business, or cause financial loss, potential liability to insureds, inability to secure insurance, reputational damage or regulatory intervention, which could materially adversely affect us.</w:t>
      </w:r>
    </w:p>
    <w:p>
      <w:pPr>
        <w:spacing w:after="0" w:line="74" w:lineRule="exact"/>
        <w:rPr>
          <w:sz w:val="20"/>
          <w:szCs w:val="20"/>
          <w:color w:val="auto"/>
        </w:rPr>
      </w:pPr>
    </w:p>
    <w:p>
      <w:pPr>
        <w:ind w:right="140" w:firstLine="323"/>
        <w:spacing w:after="0" w:line="259" w:lineRule="auto"/>
        <w:rPr>
          <w:sz w:val="20"/>
          <w:szCs w:val="20"/>
          <w:color w:val="auto"/>
        </w:rPr>
      </w:pPr>
      <w:r>
        <w:rPr>
          <w:rFonts w:ascii="Times New Roman" w:cs="Times New Roman" w:eastAsia="Times New Roman" w:hAnsi="Times New Roman"/>
          <w:sz w:val="18"/>
          <w:szCs w:val="18"/>
          <w:color w:val="auto"/>
        </w:rPr>
        <w:t>We rely on a combination of contractual rights and copyright, trademark, patent and trade secret laws to establish and protect our intellectual property. Although we seek to protect our intellectual property rights, third parties may infringe or misappropriate intellectual property. We may have to litigate to enforce and protect intellectual property and to determine its scope, validity or enforceability, which could divert significant resources and prove unsuccessful.</w:t>
      </w:r>
    </w:p>
    <w:p>
      <w:pPr>
        <w:spacing w:after="0" w:line="74" w:lineRule="exact"/>
        <w:rPr>
          <w:sz w:val="20"/>
          <w:szCs w:val="20"/>
          <w:color w:val="auto"/>
        </w:rPr>
      </w:pPr>
    </w:p>
    <w:p>
      <w:pPr>
        <w:ind w:right="120" w:firstLine="323"/>
        <w:spacing w:after="0" w:line="256" w:lineRule="auto"/>
        <w:rPr>
          <w:sz w:val="20"/>
          <w:szCs w:val="20"/>
          <w:color w:val="auto"/>
        </w:rPr>
      </w:pPr>
      <w:r>
        <w:rPr>
          <w:rFonts w:ascii="Times New Roman" w:cs="Times New Roman" w:eastAsia="Times New Roman" w:hAnsi="Times New Roman"/>
          <w:sz w:val="18"/>
          <w:szCs w:val="18"/>
          <w:color w:val="auto"/>
        </w:rPr>
        <w:t>We may be subject to claims by third parties for patent, trademark or copyright infringement or breach of usage rights. Any such claims and any resulting litigation could result in significant expense and liability. If third party providers or we are found to have infringed a third party intellectual property rights, either of us could be enjoined from providing certain products or services or from utilizing and benefiting from certain methods, processes, copyrights, trademarks, trade secrets or licenses. Alternatively, we could be required to enter into costly licensing arrangements with third parties or implement a costly work-around. Any of these scenarios could have a material effect on our business or results of operations.</w:t>
      </w:r>
    </w:p>
    <w:p>
      <w:pPr>
        <w:spacing w:after="0" w:line="79" w:lineRule="exact"/>
        <w:rPr>
          <w:sz w:val="20"/>
          <w:szCs w:val="20"/>
          <w:color w:val="auto"/>
        </w:rPr>
      </w:pPr>
    </w:p>
    <w:p>
      <w:pPr>
        <w:ind w:firstLine="323"/>
        <w:spacing w:after="0" w:line="253" w:lineRule="auto"/>
        <w:rPr>
          <w:sz w:val="20"/>
          <w:szCs w:val="20"/>
          <w:color w:val="auto"/>
        </w:rPr>
      </w:pPr>
      <w:r>
        <w:rPr>
          <w:rFonts w:ascii="Times New Roman" w:cs="Times New Roman" w:eastAsia="Times New Roman" w:hAnsi="Times New Roman"/>
          <w:sz w:val="18"/>
          <w:szCs w:val="18"/>
          <w:color w:val="auto"/>
        </w:rPr>
        <w:t>We rely on multiple proprietary operating systems as well as operating systems of third-party providers to issue policies, pay claims, run modeling functions and complete various internal processes. We may be subject to disruptions of such operating systems arising from events that are wholly or partially beyond our control, which may include, for example, electrical or telecommunications outages, natural or man-made disasters, such as earthquakes, hurricanes, floods or tornados, or events arising from criminal or terrorist acts. Such disruptions may give rise to losses in service to insureds and loss or liability to us. In addition, there is the risk that our controls and procedures as well as our business continuity, disaster recovery and data security systems prove to be inadequate. The computer systems and network systems we and others use could be vulnerable to unforeseen problems. These problems may arise in both our internally developed systems and the systems of third-party service providers. In addition, our computer systems and network infrastructure present security risks and could be susceptible to hacking, computer viruses, data breaches, or ransomware attacks. Any such failure or security incident could affect our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operations and could materially adversely affect our results of operations by requiring us to expend significant resources to correct the defect or incident, as well as by exposing us to litigation or losses not covered by insurance. Although we have disaster recovery plans and other safeguards in place, our business operations may be materially adversely affected by significant and widespread disruption to our physical infrastructure or operating systems and those of third-party service providers that support our business.</w:t>
      </w:r>
    </w:p>
    <w:p>
      <w:pPr>
        <w:spacing w:after="0" w:line="74" w:lineRule="exact"/>
        <w:rPr>
          <w:sz w:val="20"/>
          <w:szCs w:val="20"/>
          <w:color w:val="auto"/>
        </w:rPr>
      </w:pPr>
    </w:p>
    <w:p>
      <w:pPr>
        <w:ind w:right="20" w:firstLine="323"/>
        <w:spacing w:after="0" w:line="266" w:lineRule="auto"/>
        <w:rPr>
          <w:sz w:val="20"/>
          <w:szCs w:val="20"/>
          <w:color w:val="auto"/>
        </w:rPr>
      </w:pPr>
      <w:r>
        <w:rPr>
          <w:rFonts w:ascii="Times New Roman" w:cs="Times New Roman" w:eastAsia="Times New Roman" w:hAnsi="Times New Roman"/>
          <w:sz w:val="17"/>
          <w:szCs w:val="17"/>
          <w:color w:val="auto"/>
        </w:rPr>
        <w:t>Our operations rely on the secure processing, transmission and storage of confidential information in our computer systems and networks. Our technologies, systems and networks may become the target of cyber-attacks or information security breaches that could result in the unauthorized release, gathering, monitoring, misuse, loss or destruction of our or our insureds’, reinsureds’ or claimants’ confidential, proprietary and other information, or otherwise disrupt our or our insureds’, reinsureds’, claimants’ or other third parties’ business operations, which in turn may result in legal claims, regulatory scrutiny and liability, reputational damage, the incurrence of costs to eliminate or mitigate further exposure and the loss of customers. This risk may be heightened as a result of the current remote and hybrid work environment. Although to date we have not experienced any material losses relating to cyber-attacks or other information security breaches, there can be no assurance that we will not suffer such losses in the future. While we make efforts to maintain the security and integrity of our information technology networks and related systems, and we have implemented various measures and an incident response protocol to manage the risk of, or respond to, a security breach or disruption, there can be no assurance that our security efforts and measures will be effective or that attempted security breaches or disruptions would not be successful or damaging. In addition, our results of operations could be materially adversely affected if one of our business partners, such as brokers, general agents, third party claims administrators or vendors, experiences disruptions to their operating systems and/or a cybersecurity breach, as such disruption or breach could reduce submission flow, policy issuance, claims settlement, and/or make us more vulnerable to a cybersecurity breach ourselves. Our risk and exposure to these matters remains heightened because of, among other things, the evolving nature of these threats and the outsourcing of some of our business operations. As a result, cyber-security and the continued development and enhancement of our controls, processes and practices designed to protect our systems, computers, software, data and networks from attack, damage or unauthorized access remain a priority. As cyber-threats continue to evolve, we may be required to expend significant additional resources to continue to modify or enhance our protective measures or to investigate and remediate any information security vulnerabilities.</w:t>
      </w:r>
    </w:p>
    <w:p>
      <w:pPr>
        <w:spacing w:after="0" w:line="296" w:lineRule="exact"/>
        <w:rPr>
          <w:sz w:val="20"/>
          <w:szCs w:val="20"/>
          <w:color w:val="auto"/>
        </w:rPr>
      </w:pPr>
    </w:p>
    <w:p>
      <w:pPr>
        <w:ind w:right="40" w:firstLine="323"/>
        <w:spacing w:after="0" w:line="259" w:lineRule="auto"/>
        <w:rPr>
          <w:sz w:val="20"/>
          <w:szCs w:val="20"/>
          <w:color w:val="auto"/>
        </w:rPr>
      </w:pPr>
      <w:r>
        <w:rPr>
          <w:rFonts w:ascii="Times New Roman" w:cs="Times New Roman" w:eastAsia="Times New Roman" w:hAnsi="Times New Roman"/>
          <w:sz w:val="18"/>
          <w:szCs w:val="18"/>
          <w:color w:val="auto"/>
        </w:rPr>
        <w:t>Disruptions or failures in the physical infrastructure or operating systems that support our business and customers, or cyber-attacks or security breaches of the networks, systems or devices that our customers use to access our products and services could result in customer attrition, regulatory fines, penalties or intervention, reputational damage, reimbursement or other compensation costs, and/or additional compliance costs, any of which could materially adversely affect our financial condition or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have in the past varied from quarter to quarter and may not be indicative of our long-term prospects.</w:t>
      </w:r>
    </w:p>
    <w:p>
      <w:pPr>
        <w:spacing w:after="0" w:line="119" w:lineRule="exact"/>
        <w:rPr>
          <w:sz w:val="20"/>
          <w:szCs w:val="20"/>
          <w:color w:val="auto"/>
        </w:rPr>
      </w:pPr>
    </w:p>
    <w:p>
      <w:pPr>
        <w:ind w:right="20" w:firstLine="323"/>
        <w:spacing w:after="0" w:line="279" w:lineRule="auto"/>
        <w:rPr>
          <w:sz w:val="20"/>
          <w:szCs w:val="20"/>
          <w:color w:val="auto"/>
        </w:rPr>
      </w:pPr>
      <w:r>
        <w:rPr>
          <w:rFonts w:ascii="Times New Roman" w:cs="Times New Roman" w:eastAsia="Times New Roman" w:hAnsi="Times New Roman"/>
          <w:sz w:val="17"/>
          <w:szCs w:val="17"/>
          <w:color w:val="auto"/>
        </w:rPr>
        <w:t>Our operating results are subject to fluctuation and have historically varied from quarter to quarter. We expect our quarterly results to continue to fluctuate in the future due to a number of factors, including the general economic conditions in the markets where we operate, the frequency of occurrence or severity of catastrophic or other insured events, fluctuating interest rates, claims exceeding our loss reserves, competition in our industry, deviations from expected renewal rates of our existing policies and contracts, adverse investment performance and the cost of reinsurance and retrocessional coverage.</w:t>
      </w:r>
    </w:p>
    <w:p>
      <w:pPr>
        <w:spacing w:after="0" w:line="58" w:lineRule="exact"/>
        <w:rPr>
          <w:sz w:val="20"/>
          <w:szCs w:val="20"/>
          <w:color w:val="auto"/>
        </w:rPr>
      </w:pPr>
    </w:p>
    <w:p>
      <w:pPr>
        <w:ind w:right="120" w:firstLine="323"/>
        <w:spacing w:after="0" w:line="259" w:lineRule="auto"/>
        <w:rPr>
          <w:sz w:val="20"/>
          <w:szCs w:val="20"/>
          <w:color w:val="auto"/>
        </w:rPr>
      </w:pPr>
      <w:r>
        <w:rPr>
          <w:rFonts w:ascii="Times New Roman" w:cs="Times New Roman" w:eastAsia="Times New Roman" w:hAnsi="Times New Roman"/>
          <w:sz w:val="18"/>
          <w:szCs w:val="18"/>
          <w:color w:val="auto"/>
        </w:rPr>
        <w:t>In particular, we seek to underwrite products and make investments to achieve favorable returns on tangible equity over the long term. In addition, our opportunistic nature and focus on long-term growth in tangible equity may result in fluctuations in total premiums written from period to period as we concentrate on underwriting contracts that we believe will generate better long-term, rather than short-term, results. Accordingly, our short-term results of operations may not be indicative of our long-term prospects.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growth or other changes effectively.</w:t>
      </w:r>
    </w:p>
    <w:p>
      <w:pPr>
        <w:spacing w:after="0" w:line="119" w:lineRule="exact"/>
        <w:rPr>
          <w:sz w:val="20"/>
          <w:szCs w:val="20"/>
          <w:color w:val="auto"/>
        </w:rPr>
      </w:pPr>
    </w:p>
    <w:p>
      <w:pPr>
        <w:ind w:right="60" w:firstLine="323"/>
        <w:spacing w:after="0" w:line="255" w:lineRule="auto"/>
        <w:rPr>
          <w:sz w:val="20"/>
          <w:szCs w:val="20"/>
          <w:color w:val="auto"/>
        </w:rPr>
      </w:pPr>
      <w:r>
        <w:rPr>
          <w:rFonts w:ascii="Times New Roman" w:cs="Times New Roman" w:eastAsia="Times New Roman" w:hAnsi="Times New Roman"/>
          <w:sz w:val="18"/>
          <w:szCs w:val="18"/>
          <w:color w:val="auto"/>
        </w:rPr>
        <w:t>We intend to continue to grow our excess and surplus business, may attempt to enter new business lines, and may also face changes from market, legal or regulatory developments. Such growth, new business lines, and changes could require additional capital, systems development and skilled personnel. We cannot assure you that we will be able to meet our capital needs, expand and maintain our systems and our internal controls effectively, allocate our human resources optimally, identify and hire qualified employees or incorporate effectively the components of any businesses we may acquire in our effort to achieve growth. The failure to manage our growth and other changes effectively could have a material adverse effect on our business, financial condition and results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practices and future pronouncements may materially affect our reported financial results.</w:t>
      </w:r>
    </w:p>
    <w:p>
      <w:pPr>
        <w:spacing w:after="0" w:line="119" w:lineRule="exact"/>
        <w:rPr>
          <w:sz w:val="20"/>
          <w:szCs w:val="20"/>
          <w:color w:val="auto"/>
        </w:rPr>
      </w:pPr>
    </w:p>
    <w:p>
      <w:pPr>
        <w:ind w:right="300" w:firstLine="323"/>
        <w:spacing w:after="0" w:line="280" w:lineRule="auto"/>
        <w:rPr>
          <w:sz w:val="20"/>
          <w:szCs w:val="20"/>
          <w:color w:val="auto"/>
        </w:rPr>
      </w:pPr>
      <w:r>
        <w:rPr>
          <w:rFonts w:ascii="Times New Roman" w:cs="Times New Roman" w:eastAsia="Times New Roman" w:hAnsi="Times New Roman"/>
          <w:sz w:val="18"/>
          <w:szCs w:val="18"/>
          <w:color w:val="auto"/>
        </w:rPr>
        <w:t>Developments in accounting practices may require us to incur considerable additional expenses to comply, particularly if we are required to prepare information relating to prior periods for comparative purposes or to apply the new requirements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color w:val="auto"/>
        </w:rPr>
        <w:t>retroactively. The impact of changes in current accounting practices and future pronouncements cannot be predicted but may affect the calculation of net income, shareholders’ equity and other relevant financial statement line items.</w:t>
      </w:r>
    </w:p>
    <w:p>
      <w:pPr>
        <w:spacing w:after="0" w:line="55" w:lineRule="exact"/>
        <w:rPr>
          <w:sz w:val="20"/>
          <w:szCs w:val="20"/>
          <w:color w:val="auto"/>
        </w:rPr>
      </w:pPr>
    </w:p>
    <w:p>
      <w:pPr>
        <w:ind w:firstLine="323"/>
        <w:spacing w:after="0" w:line="255" w:lineRule="auto"/>
        <w:rPr>
          <w:sz w:val="20"/>
          <w:szCs w:val="20"/>
          <w:color w:val="auto"/>
        </w:rPr>
      </w:pPr>
      <w:r>
        <w:rPr>
          <w:rFonts w:ascii="Times New Roman" w:cs="Times New Roman" w:eastAsia="Times New Roman" w:hAnsi="Times New Roman"/>
          <w:sz w:val="18"/>
          <w:szCs w:val="18"/>
          <w:color w:val="auto"/>
        </w:rPr>
        <w:t>Further, our insurance subsidiaries are required to comply with statutory accounting principles (“SAP”). SAP and various components of SAP (such as actuarial reserving methodology) are subject to constant review by the NAIC and its task forces and committees, as well as state insurance departments, in an effort to address emerging issues and otherwise improve financial reporting. At any given point in time, various proposals are pending before committees and task forces of the NAIC, some of which, if enacted, could have negative effects on insurance industry participants. The NAIC continuously examines existing laws and regulations in the United States. We cannot predict whether or in what form such reforms will be enacted and, if so, whether the enacted reforms will positively or negatively affect us.</w:t>
      </w:r>
    </w:p>
    <w:p>
      <w:pPr>
        <w:spacing w:after="0" w:line="78" w:lineRule="exact"/>
        <w:rPr>
          <w:sz w:val="20"/>
          <w:szCs w:val="20"/>
          <w:color w:val="auto"/>
        </w:rPr>
      </w:pPr>
    </w:p>
    <w:p>
      <w:pPr>
        <w:ind w:right="400" w:firstLine="323"/>
        <w:spacing w:after="0" w:line="256" w:lineRule="auto"/>
        <w:rPr>
          <w:sz w:val="20"/>
          <w:szCs w:val="20"/>
          <w:color w:val="auto"/>
        </w:rPr>
      </w:pPr>
      <w:r>
        <w:rPr>
          <w:rFonts w:ascii="Times New Roman" w:cs="Times New Roman" w:eastAsia="Times New Roman" w:hAnsi="Times New Roman"/>
          <w:sz w:val="18"/>
          <w:szCs w:val="18"/>
          <w:color w:val="auto"/>
        </w:rPr>
        <w:t>In addition, the NAIC Accounting Practices and Procedures manual provides that state insurance departments may permit insurance companies domiciled in their jurisdiction to depart from SAP by granting them permitted accounting practices. We cannot predict whether or when the insurance departments of the states of domicile of our competitors may permit them to utilize advantageous accounting practices that depart from SAP, the use of which may not be permitted by the insurance departments of the states of domicile of our insurance subsidiaries. Further, we cannot assure that future changes to SAP or components of SAP or the grant of permitted accounting practices to our competitors will not have a negative impact on us.</w:t>
      </w:r>
    </w:p>
    <w:p>
      <w:pPr>
        <w:spacing w:after="0" w:line="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19" w:lineRule="exact"/>
        <w:rPr>
          <w:sz w:val="20"/>
          <w:szCs w:val="20"/>
          <w:color w:val="auto"/>
        </w:rPr>
      </w:pPr>
    </w:p>
    <w:p>
      <w:pPr>
        <w:ind w:right="280" w:firstLine="323"/>
        <w:spacing w:after="0" w:line="253" w:lineRule="auto"/>
        <w:rPr>
          <w:sz w:val="20"/>
          <w:szCs w:val="20"/>
          <w:color w:val="auto"/>
        </w:rPr>
      </w:pPr>
      <w:r>
        <w:rPr>
          <w:rFonts w:ascii="Times New Roman" w:cs="Times New Roman" w:eastAsia="Times New Roman" w:hAnsi="Times New Roman"/>
          <w:sz w:val="18"/>
          <w:szCs w:val="18"/>
          <w:color w:val="auto"/>
        </w:rPr>
        <w:t>The Company utilizes widely-recognized frameworks based on practices believed to be effective for managing cybersecurity risk, including the development of an organizational understanding of systems, assets, data and capabilities, and the development and implementation of safeguards and processes designed to ensure delivery of services and to detect, respond to and recover from cybersecurity events. Significant time and resources are devoted to the protection of the Company’s systems and data, including the staffing of an experienced internal cybersecurity team, the use of a variety of preventative, detective and recovery tools, and engagement with external service providers to bolster the Company’s cyber defense and response capabilities. Our Chief Information Officer (CIO) has more than 30 years of information technology and cybersecurity experience and our Chief Information Security Officer (CISO) has more than 15 years of direct cybersecurity experience. In addition, the Company’s Internal Audit team includes members with information technology and cybersecurity expertise and training.</w:t>
      </w:r>
    </w:p>
    <w:p>
      <w:pPr>
        <w:spacing w:after="0" w:line="82" w:lineRule="exact"/>
        <w:rPr>
          <w:sz w:val="20"/>
          <w:szCs w:val="20"/>
          <w:color w:val="auto"/>
        </w:rPr>
      </w:pPr>
    </w:p>
    <w:p>
      <w:pPr>
        <w:ind w:right="100" w:firstLine="323"/>
        <w:spacing w:after="0" w:line="259" w:lineRule="auto"/>
        <w:rPr>
          <w:sz w:val="20"/>
          <w:szCs w:val="20"/>
          <w:color w:val="auto"/>
        </w:rPr>
      </w:pPr>
      <w:r>
        <w:rPr>
          <w:rFonts w:ascii="Times New Roman" w:cs="Times New Roman" w:eastAsia="Times New Roman" w:hAnsi="Times New Roman"/>
          <w:sz w:val="18"/>
          <w:szCs w:val="18"/>
          <w:color w:val="auto"/>
        </w:rPr>
        <w:t>In the last three fiscal years, 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 The Company maintains cyber liability insurance coverage to minimize any potential financial impacts from cybersecurity incidents that may occur.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Oversight</w:t>
      </w:r>
    </w:p>
    <w:p>
      <w:pPr>
        <w:spacing w:after="0" w:line="117" w:lineRule="exact"/>
        <w:rPr>
          <w:sz w:val="20"/>
          <w:szCs w:val="20"/>
          <w:color w:val="auto"/>
        </w:rPr>
      </w:pPr>
    </w:p>
    <w:p>
      <w:pPr>
        <w:ind w:right="80" w:firstLine="323"/>
        <w:spacing w:after="0" w:line="256" w:lineRule="auto"/>
        <w:rPr>
          <w:sz w:val="20"/>
          <w:szCs w:val="20"/>
          <w:color w:val="auto"/>
        </w:rPr>
      </w:pPr>
      <w:r>
        <w:rPr>
          <w:rFonts w:ascii="Times New Roman" w:cs="Times New Roman" w:eastAsia="Times New Roman" w:hAnsi="Times New Roman"/>
          <w:sz w:val="18"/>
          <w:szCs w:val="18"/>
          <w:color w:val="auto"/>
        </w:rPr>
        <w:t>The Company’s Board of Directors provides oversight of the Company’s cybersecurity risks through its Audit Committee. Three of the eight members of the Board of Directors, all Audit Committee members, possess skills related to information technology and cybersecurity. The Audit Committee reviews the Internal Audit team’s cyber-related control audits to confirm that cyber risks are being appropriately managed and also reviews a periodic report produced by the CIO and CISO on the performance of the Company’s cybersecurity program. In addition, the CIO and CISO present a comprehensive cybersecurity update to the full Board of Directors on at least an annual basis.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Identification &amp; Mitigation</w:t>
      </w:r>
    </w:p>
    <w:p>
      <w:pPr>
        <w:spacing w:after="0" w:line="117" w:lineRule="exact"/>
        <w:rPr>
          <w:sz w:val="20"/>
          <w:szCs w:val="20"/>
          <w:color w:val="auto"/>
        </w:rPr>
      </w:pPr>
    </w:p>
    <w:p>
      <w:pPr>
        <w:ind w:right="40" w:firstLine="323"/>
        <w:spacing w:after="0" w:line="256" w:lineRule="auto"/>
        <w:rPr>
          <w:sz w:val="20"/>
          <w:szCs w:val="20"/>
          <w:color w:val="auto"/>
        </w:rPr>
      </w:pPr>
      <w:r>
        <w:rPr>
          <w:rFonts w:ascii="Times New Roman" w:cs="Times New Roman" w:eastAsia="Times New Roman" w:hAnsi="Times New Roman"/>
          <w:sz w:val="18"/>
          <w:szCs w:val="18"/>
          <w:color w:val="auto"/>
        </w:rPr>
        <w:t>Cyber risk is incorporated into the Company’s larger enterprise risk management practices, which include efforts to identify, assess, rank, treat, monitor and review risks. Cyber risks are assessed no less than annually by the CIO and CISO. Significant findings from these internal assessments are presented to management for incorporation into the enterprise risk management framework, and appropriate measures to mitigate and monitor the identified risks are developed and implemented. Strategic and emergent cyber-related efforts are shared with the wider information technology team and other stakeholders within the business for both informational and execution purposes.</w:t>
      </w:r>
    </w:p>
    <w:p>
      <w:pPr>
        <w:spacing w:after="0" w:line="79" w:lineRule="exact"/>
        <w:rPr>
          <w:sz w:val="20"/>
          <w:szCs w:val="20"/>
          <w:color w:val="auto"/>
        </w:rPr>
      </w:pPr>
    </w:p>
    <w:p>
      <w:pPr>
        <w:ind w:right="20" w:firstLine="323"/>
        <w:spacing w:after="0" w:line="279" w:lineRule="auto"/>
        <w:rPr>
          <w:sz w:val="20"/>
          <w:szCs w:val="20"/>
          <w:color w:val="auto"/>
        </w:rPr>
      </w:pPr>
      <w:r>
        <w:rPr>
          <w:rFonts w:ascii="Times New Roman" w:cs="Times New Roman" w:eastAsia="Times New Roman" w:hAnsi="Times New Roman"/>
          <w:sz w:val="17"/>
          <w:szCs w:val="17"/>
          <w:color w:val="auto"/>
        </w:rPr>
        <w:t>The Company assesses and monitors third-party risks and closely tracks cyber threats such as ransomware and emergent web-based vulnerabilities. A variety of controls exist to minimize the impact of these risks and ensure each is managed within organizational tolerances, which controls are monitored by management for effectiveness. In addition, James River's Information Security Office conducts cybersecurity risk reviews on new and existing third-party vendors and business partners, which are presented to management so that either appropriate risk mitigation controls can be established with respect to such</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third-party or the Company can avoid engaging with such third-party if they are deemed to present an unacceptable level of risk.</w:t>
      </w:r>
    </w:p>
    <w:p>
      <w:pPr>
        <w:spacing w:after="0" w:line="115" w:lineRule="exact"/>
        <w:rPr>
          <w:sz w:val="20"/>
          <w:szCs w:val="20"/>
          <w:color w:val="auto"/>
        </w:rPr>
      </w:pPr>
    </w:p>
    <w:p>
      <w:pPr>
        <w:ind w:right="60" w:firstLine="323"/>
        <w:spacing w:after="0" w:line="313" w:lineRule="auto"/>
        <w:rPr>
          <w:sz w:val="20"/>
          <w:szCs w:val="20"/>
          <w:color w:val="auto"/>
        </w:rPr>
      </w:pPr>
      <w:r>
        <w:rPr>
          <w:rFonts w:ascii="Times New Roman" w:cs="Times New Roman" w:eastAsia="Times New Roman" w:hAnsi="Times New Roman"/>
          <w:sz w:val="17"/>
          <w:szCs w:val="17"/>
          <w:color w:val="auto"/>
        </w:rPr>
        <w:t>Independent cybersecurity testing is performed by outside parties on at least an annual basis to identify opportunities for cyber control strengthening in the face of applicable threats. The results of these evaluations are reviewed and prioritized by the CIO and CISO based on their applicability and urgency to</w:t>
      </w:r>
    </w:p>
    <w:p>
      <w:pPr>
        <w:spacing w:after="0" w:line="1"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8"/>
          <w:szCs w:val="18"/>
          <w:color w:val="auto"/>
        </w:rPr>
        <w:t>address gaps and drive continuous improvement. These findings, along with resultant enhancement and remediation efforts, are communicated with the Company’s Board of Directors.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Training</w:t>
      </w:r>
    </w:p>
    <w:p>
      <w:pPr>
        <w:spacing w:after="0" w:line="117" w:lineRule="exact"/>
        <w:rPr>
          <w:sz w:val="20"/>
          <w:szCs w:val="20"/>
          <w:color w:val="auto"/>
        </w:rPr>
      </w:pPr>
    </w:p>
    <w:p>
      <w:pPr>
        <w:ind w:right="60" w:firstLine="323"/>
        <w:spacing w:after="0" w:line="259" w:lineRule="auto"/>
        <w:rPr>
          <w:sz w:val="20"/>
          <w:szCs w:val="20"/>
          <w:color w:val="auto"/>
        </w:rPr>
      </w:pPr>
      <w:r>
        <w:rPr>
          <w:rFonts w:ascii="Times New Roman" w:cs="Times New Roman" w:eastAsia="Times New Roman" w:hAnsi="Times New Roman"/>
          <w:sz w:val="18"/>
          <w:szCs w:val="18"/>
          <w:color w:val="auto"/>
        </w:rPr>
        <w:t>The Information Security Office conducts company-wide cybersecurity training, including through an annually required course of online training modules and a continuous email phishing test campaign. In addition, the CISO leads periodic cybersecurity tabletop exercises with company leadership to continually improve the organization’s preparedness for cyber incidents. These exercises consider real-world events that could impact the business and seek to fine-tune response activities in an effort to minimize future cybersecurity incident impacts.</w:t>
      </w:r>
    </w:p>
    <w:p>
      <w:pPr>
        <w:spacing w:after="0" w:line="72" w:lineRule="exact"/>
        <w:rPr>
          <w:sz w:val="20"/>
          <w:szCs w:val="20"/>
          <w:color w:val="auto"/>
        </w:rPr>
      </w:pPr>
    </w:p>
    <w:p>
      <w:pPr>
        <w:jc w:val="both"/>
        <w:ind w:right="520" w:firstLine="323"/>
        <w:spacing w:after="0" w:line="265" w:lineRule="auto"/>
        <w:rPr>
          <w:sz w:val="20"/>
          <w:szCs w:val="20"/>
          <w:color w:val="auto"/>
        </w:rPr>
      </w:pPr>
      <w:r>
        <w:rPr>
          <w:rFonts w:ascii="Times New Roman" w:cs="Times New Roman" w:eastAsia="Times New Roman" w:hAnsi="Times New Roman"/>
          <w:sz w:val="18"/>
          <w:szCs w:val="18"/>
          <w:color w:val="auto"/>
        </w:rPr>
        <w:t>See Item 1A. Risk Factors — General Risk Factors "</w:t>
      </w:r>
      <w:r>
        <w:rPr>
          <w:rFonts w:ascii="Times New Roman" w:cs="Times New Roman" w:eastAsia="Times New Roman" w:hAnsi="Times New Roman"/>
          <w:sz w:val="18"/>
          <w:szCs w:val="18"/>
          <w:i w:val="1"/>
          <w:iCs w:val="1"/>
          <w:color w:val="auto"/>
        </w:rPr>
        <w:t>We rely on our systems and employees, and those of certain third-party vendors and 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providers in conducting our operations, and certain failures, including internal or external fraud, operational errors, systems malfunctions, or cyber-security incidents, could materially adversely affect our operations" </w:t>
      </w:r>
      <w:r>
        <w:rPr>
          <w:rFonts w:ascii="Times New Roman" w:cs="Times New Roman" w:eastAsia="Times New Roman" w:hAnsi="Times New Roman"/>
          <w:sz w:val="18"/>
          <w:szCs w:val="18"/>
          <w:color w:val="auto"/>
        </w:rPr>
        <w:t>for additional discussion.</w:t>
      </w:r>
    </w:p>
    <w:p>
      <w:pPr>
        <w:spacing w:after="0" w:line="6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19" w:lineRule="exact"/>
        <w:rPr>
          <w:sz w:val="20"/>
          <w:szCs w:val="20"/>
          <w:color w:val="auto"/>
        </w:rPr>
      </w:pPr>
    </w:p>
    <w:p>
      <w:pPr>
        <w:ind w:right="20" w:firstLine="323"/>
        <w:spacing w:after="0" w:line="259" w:lineRule="auto"/>
        <w:rPr>
          <w:sz w:val="20"/>
          <w:szCs w:val="20"/>
          <w:color w:val="auto"/>
        </w:rPr>
      </w:pPr>
      <w:r>
        <w:rPr>
          <w:rFonts w:ascii="Times New Roman" w:cs="Times New Roman" w:eastAsia="Times New Roman" w:hAnsi="Times New Roman"/>
          <w:sz w:val="18"/>
          <w:szCs w:val="18"/>
          <w:color w:val="auto"/>
        </w:rPr>
        <w:t>We lease co-working office space in Bermuda, where our principal executive office is located. We also lease offices in (1) Chapel Hill, North Carolina, where our U.S. holding company, James River Group is based, (2) Raleigh, North Carolina, where we conduct business in our Specialty Admitted Insurance segment and (3) Richmond, Virginia; Scottsdale, Arizona; and Atlanta, Georgia for the conduct of business in our Excess and Surplus Lines segment. We believe that our facilities are adequate for our current needs and that suitable additional or substitute space will be available as needed.</w:t>
      </w:r>
    </w:p>
    <w:p>
      <w:pPr>
        <w:spacing w:after="0" w:line="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9" w:lineRule="exact"/>
        <w:rPr>
          <w:sz w:val="20"/>
          <w:szCs w:val="20"/>
          <w:color w:val="auto"/>
        </w:rPr>
      </w:pPr>
    </w:p>
    <w:p>
      <w:pPr>
        <w:ind w:firstLine="323"/>
        <w:spacing w:after="0" w:line="259" w:lineRule="auto"/>
        <w:rPr>
          <w:sz w:val="20"/>
          <w:szCs w:val="20"/>
          <w:color w:val="auto"/>
        </w:rPr>
      </w:pPr>
      <w:r>
        <w:rPr>
          <w:rFonts w:ascii="Times New Roman" w:cs="Times New Roman" w:eastAsia="Times New Roman" w:hAnsi="Times New Roman"/>
          <w:sz w:val="18"/>
          <w:szCs w:val="18"/>
          <w:color w:val="auto"/>
        </w:rPr>
        <w:t>We are involved in various legal proceedings, including commercial matters and litigation regarding insurance claims which arise in the ordinary course of business. In addition, the Company is involved from time to time in legal actions which seek extra-contractual damages, punitive damages or penalties, including claims alleging bad faith in the handling of insurance claims. We believe that the outcome of such matters, individually and in the aggregate, is not reasonably likely to have a material adverse effect on our consolidated financial position, results of operations or cash flows.</w:t>
      </w:r>
    </w:p>
    <w:p>
      <w:pPr>
        <w:spacing w:after="0" w:line="74" w:lineRule="exact"/>
        <w:rPr>
          <w:sz w:val="20"/>
          <w:szCs w:val="20"/>
          <w:color w:val="auto"/>
        </w:rPr>
      </w:pPr>
    </w:p>
    <w:p>
      <w:pPr>
        <w:ind w:right="40" w:firstLine="323"/>
        <w:spacing w:after="0" w:line="252" w:lineRule="auto"/>
        <w:rPr>
          <w:sz w:val="20"/>
          <w:szCs w:val="20"/>
          <w:color w:val="auto"/>
        </w:rPr>
      </w:pPr>
      <w:r>
        <w:rPr>
          <w:rFonts w:ascii="Times New Roman" w:cs="Times New Roman" w:eastAsia="Times New Roman" w:hAnsi="Times New Roman"/>
          <w:sz w:val="18"/>
          <w:szCs w:val="18"/>
          <w:color w:val="auto"/>
        </w:rPr>
        <w:t>On November 13, 2023, a purported class action lawsuit was filed in the U.S. District Court, Southern District of New York, on behalf of Paul Glantz against James River Group Holdings, Ltd. and certain of its officers, asserting claims under Sections 10(b) and 20(a) of the Securities Exchange Act of 1934. On January 12, 2024, both Mr. Glantz and Madhav Ghimire, another individual shareholder, filed an application with the court for appointment as lead plaintiff, and on January 26, 2024 Mr. Glantz filed a notice of non-opposition to Mr. Ghimire's competing motion for appointment as lead plaintiff. On March 25, 2024 the court entered an order appointing Mr. Ghimire as lead plaintiff. On May 24, 2024, plaintiff filed its consolidated amended complaint alleging that he acquired the Company’s common stock at artificially inflated pricing between May 2, 2023 and November 7, 2023, inclusive, that the Company knew and/or recklessly disregarded that it had improperly accounted for reinsurance premiums and did not have effective internal control over financial reporting, and that as a result, he suffered unspecified damages, and seeking unspecified damages, costs, attorneys' fees and such other relief as the court may deem proper. On July 23, 2024 the Company filed a motion to dismiss the consolidated amended complaint. On September 6, 2024, the plaintiff filed its Opposition to Motion to Dismiss and on October 8, 2024, the Company filed its Reply to the plaintiff's Opposition to Motion to Dismiss. On January 23, 2025 the court granted the Company's Motion to Dismiss with prejudice.</w:t>
      </w:r>
    </w:p>
    <w:p>
      <w:pPr>
        <w:spacing w:after="0" w:line="82" w:lineRule="exact"/>
        <w:rPr>
          <w:sz w:val="20"/>
          <w:szCs w:val="20"/>
          <w:color w:val="auto"/>
        </w:rPr>
      </w:pPr>
    </w:p>
    <w:p>
      <w:pPr>
        <w:ind w:right="20" w:firstLine="323"/>
        <w:spacing w:after="0" w:line="252" w:lineRule="auto"/>
        <w:rPr>
          <w:sz w:val="20"/>
          <w:szCs w:val="20"/>
          <w:color w:val="auto"/>
        </w:rPr>
      </w:pPr>
      <w:r>
        <w:rPr>
          <w:rFonts w:ascii="Times New Roman" w:cs="Times New Roman" w:eastAsia="Times New Roman" w:hAnsi="Times New Roman"/>
          <w:sz w:val="18"/>
          <w:szCs w:val="18"/>
          <w:color w:val="auto"/>
        </w:rPr>
        <w:t>On March 11, 2024, the Company filed a complaint in the Supreme Court of the State of New York, New York County, Commercial Division against Fleming Intermediate Holdings LLC (“Fleming”), a Cayman Islands limited liability company, relating to the previously announced Stock Purchase Agreement, dated as of November 8, 2023 (the “Stock Purchase Agreement”), pursuant to which Fleming agreed to purchase all of the outstanding common shares of JRG Re (the “Transaction”). The complaint alleges that Fleming breached the Stock Purchase Agreement by its refusal to close the Transaction on March 1, 2024 as required under the terms of the Stock Purchase Agreement, and seeks specific performance of Fleming’s obligation to complete the Transaction and an award of damages. The Company subsequently filed a motion for preliminary injunction to require Fleming to fulfill its contractual obligation to close the Transaction, and on April 6, 2024 the Court granted the Company’s motion and ordered Fleming to complete the Transaction on or prior to April 16, 2024. On April 8, 2024, Fleming filed a notice of appeal of the preliminary injunction, which Fleming withdrew on October 9, 2024. The Transaction closed on April 16, 2024. On April 19, 2024, Fleming filed a motion to dismiss the complaint. On May 9, 2024, the Company filed an amended complaint seeking, among other things, specific performance and damages suffered as a result of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color w:val="auto"/>
        </w:rPr>
        <w:t>Fleming's breach of the Stock Purchase Agreement. On June 6, 2024, Fleming filed a motion to dismiss the amended complaint, on July 3, 2024 the Company filed an opposition to the motion to dismiss, on July 24, 2024 Fleming filed its reply to the opposition, and on October 29, 2024 the court heard oral argument on the motion to dismiss.</w:t>
      </w:r>
    </w:p>
    <w:p>
      <w:pPr>
        <w:spacing w:after="0" w:line="69" w:lineRule="exact"/>
        <w:rPr>
          <w:sz w:val="20"/>
          <w:szCs w:val="20"/>
          <w:color w:val="auto"/>
        </w:rPr>
      </w:pPr>
    </w:p>
    <w:p>
      <w:pPr>
        <w:ind w:firstLine="323"/>
        <w:spacing w:after="0" w:line="271" w:lineRule="auto"/>
        <w:rPr>
          <w:sz w:val="20"/>
          <w:szCs w:val="20"/>
          <w:color w:val="auto"/>
        </w:rPr>
      </w:pPr>
      <w:r>
        <w:rPr>
          <w:rFonts w:ascii="Times New Roman" w:cs="Times New Roman" w:eastAsia="Times New Roman" w:hAnsi="Times New Roman"/>
          <w:sz w:val="17"/>
          <w:szCs w:val="17"/>
          <w:color w:val="auto"/>
        </w:rPr>
        <w:t>On July 15, 2024, Fleming filed a lawsuit in the U.S. District Court, Southern District of New York against James River Group Holdings, Ltd. and certain of its officers, asserting claims under Sections 10(b) and 20(a) of the Securities Exchange Act of 1934, common law fraud, and breaches of contract, and seeking unspecified monetary damages, including compensatory, consequential and punitive damages, all associated with Fleming's purchase of JRG Re pursuant to the Stock Purchase Agreement. On July 31, 2024, Fleming filed an amended complaint, on September 13, 2024 the Company filed a motion to dismiss the amended complaint, and on October 18, 2024 Fleming filed a second amended complaint. On November 15, 2024, the Company filed a motion to dismiss the second amended complaint, on December 23, 2024 Fleming filed an opposition to the motion to dismiss, and on January 17, 2025 the Company filed its reply to Fleming's opposition. The Company believes that it has substantial defenses and intends to vigorously defend this lawsuit.</w:t>
      </w:r>
    </w:p>
    <w:p>
      <w:pPr>
        <w:spacing w:after="0" w:line="6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5" w:lineRule="exact"/>
        <w:rPr>
          <w:sz w:val="20"/>
          <w:szCs w:val="20"/>
          <w:color w:val="auto"/>
        </w:rPr>
      </w:pPr>
    </w:p>
    <w:p>
      <w:pPr>
        <w:ind w:left="720" w:right="400" w:hanging="967"/>
        <w:spacing w:after="0" w:line="284" w:lineRule="auto"/>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19" w:lineRule="exact"/>
        <w:rPr>
          <w:sz w:val="20"/>
          <w:szCs w:val="20"/>
          <w:color w:val="auto"/>
        </w:rPr>
      </w:pPr>
    </w:p>
    <w:p>
      <w:pPr>
        <w:ind w:right="200" w:firstLine="363"/>
        <w:spacing w:after="0" w:line="259" w:lineRule="auto"/>
        <w:rPr>
          <w:sz w:val="20"/>
          <w:szCs w:val="20"/>
          <w:color w:val="auto"/>
        </w:rPr>
      </w:pPr>
      <w:r>
        <w:rPr>
          <w:rFonts w:ascii="Times New Roman" w:cs="Times New Roman" w:eastAsia="Times New Roman" w:hAnsi="Times New Roman"/>
          <w:sz w:val="18"/>
          <w:szCs w:val="18"/>
          <w:color w:val="auto"/>
        </w:rPr>
        <w:t>Our common shares began trading on the NASDAQ Global Select Market under the symbol “JRVR” on December 12, 2014. Prior to that time, there was no public market for our common shares. As of February 24, 2025, there were 4 holders of record of our common shares. A substantially greater number of holders of common shares are “street name” or beneficial holders, whose shares of record are held by banks, brokers, and other financial institutions.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9" w:lineRule="exact"/>
        <w:rPr>
          <w:sz w:val="20"/>
          <w:szCs w:val="20"/>
          <w:color w:val="auto"/>
        </w:rPr>
      </w:pPr>
    </w:p>
    <w:p>
      <w:pPr>
        <w:ind w:right="320" w:firstLine="363"/>
        <w:spacing w:after="0" w:line="259" w:lineRule="auto"/>
        <w:rPr>
          <w:sz w:val="20"/>
          <w:szCs w:val="20"/>
          <w:color w:val="auto"/>
        </w:rPr>
      </w:pPr>
      <w:r>
        <w:rPr>
          <w:rFonts w:ascii="Times New Roman" w:cs="Times New Roman" w:eastAsia="Times New Roman" w:hAnsi="Times New Roman"/>
          <w:sz w:val="18"/>
          <w:szCs w:val="18"/>
          <w:color w:val="auto"/>
        </w:rPr>
        <w:t>On February 20, 2025, the Board of Directors declared a cash dividend of $0.01 per common share. The dividend is payable on March 31, 2025 to shareholders of record on March 10, 2025. We also paid a cash dividend of $0.01 per common share in the fourth quarter of 2024, preceded by quarterly dividends of $0.05 per common share from 2022 to the third quarter of 2024, and $0.30 per common share from 2017 to the fourth quarter of 2021. As described below, the amount of dividends that we may pay on our common shares is restricted by the terms of our Series A Preferred Shares.</w:t>
      </w:r>
    </w:p>
    <w:p>
      <w:pPr>
        <w:spacing w:after="0" w:line="74" w:lineRule="exact"/>
        <w:rPr>
          <w:sz w:val="20"/>
          <w:szCs w:val="20"/>
          <w:color w:val="auto"/>
        </w:rPr>
      </w:pPr>
    </w:p>
    <w:p>
      <w:pPr>
        <w:ind w:right="100" w:firstLine="363"/>
        <w:spacing w:after="0" w:line="273" w:lineRule="auto"/>
        <w:rPr>
          <w:sz w:val="20"/>
          <w:szCs w:val="20"/>
          <w:color w:val="auto"/>
        </w:rPr>
      </w:pPr>
      <w:r>
        <w:rPr>
          <w:rFonts w:ascii="Times New Roman" w:cs="Times New Roman" w:eastAsia="Times New Roman" w:hAnsi="Times New Roman"/>
          <w:sz w:val="17"/>
          <w:szCs w:val="17"/>
          <w:color w:val="auto"/>
        </w:rPr>
        <w:t>We closed on the issuance and sale of 150,000 Series A Preferred Shares on March 1, 2022. Holders of the Series A Preferred Shares were initially entitled to a dividend at the rate of 7% of the $1,000 per share liquidation preference per annum, paid in cash, in-kind in common shares or in Series A Preferred Shares, at our election. On the five-year anniversary of the Closing Date, and each five-year anniversary thereafter, the dividend rate would reset to a rate equal to the five-year U.S. treasury rate plus 5.2%. On November 11, 2024, the Company amended the Certificate of Designations to, among other things, (i) convert 37,500 of the outstanding Series A Preferred Shares to common shares, (ii) delay the first date on which the dividend rate re-sets from March 1, 2027 to October 1, 2029, and (iii) cap the dividend rate at 8%. Dividends on the Series A Preferred Shares accrue and are payable quarterly.</w:t>
      </w:r>
    </w:p>
    <w:p>
      <w:pPr>
        <w:spacing w:after="0" w:line="63" w:lineRule="exact"/>
        <w:rPr>
          <w:sz w:val="20"/>
          <w:szCs w:val="20"/>
          <w:color w:val="auto"/>
        </w:rPr>
      </w:pPr>
    </w:p>
    <w:p>
      <w:pPr>
        <w:ind w:right="260" w:firstLine="363"/>
        <w:spacing w:after="0" w:line="259" w:lineRule="auto"/>
        <w:rPr>
          <w:sz w:val="20"/>
          <w:szCs w:val="20"/>
          <w:color w:val="auto"/>
        </w:rPr>
      </w:pPr>
      <w:r>
        <w:rPr>
          <w:rFonts w:ascii="Times New Roman" w:cs="Times New Roman" w:eastAsia="Times New Roman" w:hAnsi="Times New Roman"/>
          <w:sz w:val="18"/>
          <w:szCs w:val="18"/>
          <w:color w:val="auto"/>
        </w:rPr>
        <w:t>On February 20, 2025, the Board of Directors declared a quarterly dividend on the Series A Preferred Shares. The dividend of $2.0 million will be payable in cash on March 31, 2025 to shareholders of record on March 15, 2025. For the year ended December 31, 2024, cash dividends of $10.1 million were declared and paid on the Series A Preferred Shares. For the years ended December 31, 2023, and 2022, cash dividends of $10.5 million and $8.8 million were declared, respectively, of which $2.6 million was payable at December 31 of both years.</w:t>
      </w:r>
    </w:p>
    <w:p>
      <w:pPr>
        <w:spacing w:after="0" w:line="74" w:lineRule="exact"/>
        <w:rPr>
          <w:sz w:val="20"/>
          <w:szCs w:val="20"/>
          <w:color w:val="auto"/>
        </w:rPr>
      </w:pPr>
    </w:p>
    <w:p>
      <w:pPr>
        <w:ind w:right="20" w:firstLine="363"/>
        <w:spacing w:after="0" w:line="256" w:lineRule="auto"/>
        <w:rPr>
          <w:sz w:val="20"/>
          <w:szCs w:val="20"/>
          <w:color w:val="auto"/>
        </w:rPr>
      </w:pPr>
      <w:r>
        <w:rPr>
          <w:rFonts w:ascii="Times New Roman" w:cs="Times New Roman" w:eastAsia="Times New Roman" w:hAnsi="Times New Roman"/>
          <w:sz w:val="18"/>
          <w:szCs w:val="18"/>
          <w:color w:val="auto"/>
        </w:rPr>
        <w:t>The Certificate of Designations setting forth the terms of the Series A Preferred Shares limits our ability to pay dividends to our common shareholders. If we pay cash dividends of more than $0.05 per common share per quarter, without the consent of at least the majority of the Series A Preferred Shares then outstanding, we will be required to reduce the conversion price of the Series A Preferred Shares. Additionally, the payment of cash dividends in excess of $0.10 per common share per quarter is not permitted if the dividends on the Series A Preferred Shares for that quarter are not paid in cash, unless the Company’s U.S.-based insurance subsidiaries satisfy certain capital requirements.</w:t>
      </w:r>
    </w:p>
    <w:p>
      <w:pPr>
        <w:spacing w:after="0" w:line="79" w:lineRule="exact"/>
        <w:rPr>
          <w:sz w:val="20"/>
          <w:szCs w:val="20"/>
          <w:color w:val="auto"/>
        </w:rPr>
      </w:pPr>
    </w:p>
    <w:p>
      <w:pPr>
        <w:ind w:right="40" w:firstLine="363"/>
        <w:spacing w:after="0" w:line="252" w:lineRule="auto"/>
        <w:rPr>
          <w:sz w:val="20"/>
          <w:szCs w:val="20"/>
          <w:color w:val="auto"/>
        </w:rPr>
      </w:pPr>
      <w:r>
        <w:rPr>
          <w:rFonts w:ascii="Times New Roman" w:cs="Times New Roman" w:eastAsia="Times New Roman" w:hAnsi="Times New Roman"/>
          <w:sz w:val="18"/>
          <w:szCs w:val="18"/>
          <w:color w:val="auto"/>
        </w:rPr>
        <w:t>We are a holding company that has no substantial operations of our own, and we rely primarily on cash dividends or distributions from our subsidiaries to pay our operating expenses and dividends to shareholders. The payment of dividends by our insurance subsidiaries is limited under the laws and regulations of their respective domicile. These regulations stipulate the maximum amount of annual dividends or other distributions available to shareholders without prior approval of the relevant regulatory authorities. Additionally, dividends from our U.S. subsidiaries to our U.K. intermediate holding company are generally subject to a 5% withholding tax by the IRS. Under U.K. domestic law, no withholding tax is applied to dividends paid by U.K. tax resident companies. As a result of such regulations, or a change in applicable tax law, we may not be able to pay our operating expenses as they become due and our payment of future dividends to shareholders may be limited. See “Item 1A. Risk Factors — Risks Related to Ownership of Our Common Shares “—We depend upon dividends and distributions from our subsidiaries, and we may be unable to distribute dividends to our shareholders to the extent we do not receive dividends from our subsidiaries,” and “—Dividends paid by our U.S. subsidiaries to James River UK may not be eligible for benefits under the U.S.-U.K. income tax treaty.”</w:t>
      </w:r>
    </w:p>
    <w:p>
      <w:pPr>
        <w:spacing w:after="0" w:line="84" w:lineRule="exact"/>
        <w:rPr>
          <w:sz w:val="20"/>
          <w:szCs w:val="20"/>
          <w:color w:val="auto"/>
        </w:rPr>
      </w:pPr>
    </w:p>
    <w:p>
      <w:pPr>
        <w:ind w:firstLine="363"/>
        <w:spacing w:after="0" w:line="254" w:lineRule="auto"/>
        <w:rPr>
          <w:sz w:val="20"/>
          <w:szCs w:val="20"/>
          <w:color w:val="auto"/>
        </w:rPr>
      </w:pPr>
      <w:r>
        <w:rPr>
          <w:rFonts w:ascii="Times New Roman" w:cs="Times New Roman" w:eastAsia="Times New Roman" w:hAnsi="Times New Roman"/>
          <w:sz w:val="18"/>
          <w:szCs w:val="18"/>
          <w:color w:val="auto"/>
        </w:rPr>
        <w:t>Additionally, the declaration, payment and amount of future dividends is further subject to the discretion of our board of directors. Our board of directors will give consideration to various risks and uncertainties, including those discussed under the headings “Item 1A. Risk Factors” and “Item 7. Management’s Discussion and Analysis of Financial Condition and Results of Operations” and elsewhere in this Annual Report when determining whether to declare and pay dividends, as well as the amount thereof. Our board of directors may take into account a variety of factors when determining whether to declare any future dividends, including (1) our financial condition, liquidity, results of operations (including our ability to generate cash flow in excess of expenses and our expected or actual net income), retained earnings and collateral and capital requirements, (2) general business conditions, (3) legal, tax and regulatory limitations, (4) contractual prohibitions and other restrictions, in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color w:val="auto"/>
        </w:rPr>
        <w:t>addition to those relating to our Series A Preferred Shares, (5) the effect of a dividend or dividends upon our financial strength ratings and (6) any other factors that our board of directors deems relevant.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graph below compares the cumulative 5-Year total shareholder return of our common shares relative to the cumulative total returns of the Russell</w:t>
      </w:r>
    </w:p>
    <w:p>
      <w:pPr>
        <w:spacing w:after="0" w:line="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2000 index and the S&amp;P 500 Property and Casualty Insurance index. The calculation of cumulative total shareholder return assumes an initial investment of $100 and the reinvestment of all dividends, if any, for the period from December 31, 2019 through December 31, 2024.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62230</wp:posOffset>
            </wp:positionV>
            <wp:extent cx="5819140" cy="42748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19140" cy="4274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Copyright© 2025 Standard &amp; Poor's, a division of S&amp;P Global. All rights reserved.</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Copyright© 2025 Russell Investment Group. All rights reserved.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12/19</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12/20</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12/21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12/22</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12/23</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12/24</w:t>
            </w:r>
          </w:p>
        </w:tc>
      </w:tr>
      <w:tr>
        <w:trPr>
          <w:trHeight w:val="25"/>
        </w:trPr>
        <w:tc>
          <w:tcPr>
            <w:tcW w:w="4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River Group Holdings, Ltd.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122.71</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74.51</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54.55</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24.44</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13.16</w:t>
            </w:r>
          </w:p>
        </w:tc>
      </w:tr>
      <w:tr>
        <w:trPr>
          <w:trHeight w:val="22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2000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119.96</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137.74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109.59</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128.14</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142.93</w:t>
            </w:r>
          </w:p>
        </w:tc>
      </w:tr>
      <w:tr>
        <w:trPr>
          <w:trHeight w:val="22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 Property &amp; Casualty Insurance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106.96</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127.58</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151.65</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168.05</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227.67</w:t>
            </w:r>
          </w:p>
        </w:tc>
      </w:tr>
    </w:tbl>
    <w:p>
      <w:pPr>
        <w:spacing w:after="0" w:line="183" w:lineRule="exact"/>
        <w:rPr>
          <w:sz w:val="20"/>
          <w:szCs w:val="20"/>
          <w:color w:val="auto"/>
        </w:rPr>
      </w:pPr>
    </w:p>
    <w:p>
      <w:pPr>
        <w:ind w:right="20" w:firstLine="363"/>
        <w:spacing w:after="0" w:line="259" w:lineRule="auto"/>
        <w:rPr>
          <w:sz w:val="20"/>
          <w:szCs w:val="20"/>
          <w:color w:val="auto"/>
        </w:rPr>
      </w:pPr>
      <w:r>
        <w:rPr>
          <w:rFonts w:ascii="Times New Roman" w:cs="Times New Roman" w:eastAsia="Times New Roman" w:hAnsi="Times New Roman"/>
          <w:sz w:val="18"/>
          <w:szCs w:val="18"/>
          <w:color w:val="auto"/>
        </w:rPr>
        <w:t>The performance graph and related information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future filing under the Securities Act of 1933, as amended, or the Exchange Act, except to the extent that we specifically incorporate it by reference into such filing.</w:t>
      </w:r>
    </w:p>
    <w:p>
      <w:pPr>
        <w:spacing w:after="0" w:line="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jc w:val="both"/>
        <w:ind w:right="180" w:firstLine="363"/>
        <w:spacing w:after="0" w:line="288" w:lineRule="auto"/>
        <w:rPr>
          <w:sz w:val="20"/>
          <w:szCs w:val="20"/>
          <w:color w:val="auto"/>
        </w:rPr>
      </w:pPr>
      <w:r>
        <w:rPr>
          <w:rFonts w:ascii="Times New Roman" w:cs="Times New Roman" w:eastAsia="Times New Roman" w:hAnsi="Times New Roman"/>
          <w:sz w:val="17"/>
          <w:szCs w:val="17"/>
          <w:i w:val="1"/>
          <w:iCs w:val="1"/>
          <w:color w:val="auto"/>
        </w:rPr>
        <w:t>The following discussion and analysis contains forward-looking statements and involves numerous risks and uncertainties, including those described under the heading “Item 1A. Risk Factors.” Actual results may differ materially from those contained in any forward-looking statements. You should read this discussion and analysis together with our audited consolidated financial statements and related notes included elsewhere in this Form 10-K.</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9" w:lineRule="exact"/>
        <w:rPr>
          <w:sz w:val="20"/>
          <w:szCs w:val="20"/>
          <w:color w:val="auto"/>
        </w:rPr>
      </w:pPr>
    </w:p>
    <w:p>
      <w:pPr>
        <w:ind w:right="180" w:firstLine="363"/>
        <w:spacing w:after="0" w:line="264" w:lineRule="auto"/>
        <w:rPr>
          <w:sz w:val="20"/>
          <w:szCs w:val="20"/>
          <w:color w:val="auto"/>
        </w:rPr>
      </w:pPr>
      <w:r>
        <w:rPr>
          <w:rFonts w:ascii="Times New Roman" w:cs="Times New Roman" w:eastAsia="Times New Roman" w:hAnsi="Times New Roman"/>
          <w:sz w:val="18"/>
          <w:szCs w:val="18"/>
          <w:color w:val="auto"/>
        </w:rPr>
        <w:t>James River Group Holdings, Ltd. is a Bermuda-based holding company. We own and operate a group of specialty insurance companies with the objective of generating compelling returns on tangible equity while limiting underwriting and investment volatility. We seek to accomplish this by earning profits from insurance underwriting and generating meaningful risk-adjusted investment returns, while managing our capital.</w:t>
      </w:r>
    </w:p>
    <w:p>
      <w:pPr>
        <w:spacing w:after="0" w:line="69" w:lineRule="exact"/>
        <w:rPr>
          <w:sz w:val="20"/>
          <w:szCs w:val="20"/>
          <w:color w:val="auto"/>
        </w:rPr>
      </w:pPr>
    </w:p>
    <w:p>
      <w:pPr>
        <w:ind w:right="160" w:firstLine="363"/>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2024, approximately 76.2% of our gross written premiums and 88.7% of our net written premiums from continuing operations originated from the U.S. E&amp;S lines market, which we believe puts us among the top three publicly traded insurers as ranked by highest concentrations of E&amp;S risk. We also have a specialty admitted insurance business in the United States. We intend to concentrate substantially all of our underwriting in casualty insurance, and for the year ended December 31, 2024, 96.3% of our gross written premiums from continuing operations were derived from casualty insurance. We focus on writing business in specialty markets where our underwriters have particular expertise and where we have long-standing distribution relationships; maintaining a strong balance sheet with appropriate reserves; monitoring reinsurance recoverables carefully; managing our investment portfolio actively without taking undue risk; using technology to monitor trends in our business; responding rapidly to market opportunities and challenges; and actively managing our capital.</w:t>
      </w:r>
    </w:p>
    <w:p>
      <w:pPr>
        <w:spacing w:after="0" w:line="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report our continuing operations in three segments: Excess and Surplus Lines, Specialty Admitted Insurance, and Corporate and Other.</w:t>
      </w:r>
    </w:p>
    <w:p>
      <w:pPr>
        <w:spacing w:after="0" w:line="115" w:lineRule="exact"/>
        <w:rPr>
          <w:sz w:val="20"/>
          <w:szCs w:val="20"/>
          <w:color w:val="auto"/>
        </w:rPr>
      </w:pPr>
    </w:p>
    <w:p>
      <w:pPr>
        <w:ind w:right="120" w:firstLine="363"/>
        <w:spacing w:after="0" w:line="253" w:lineRule="auto"/>
        <w:rPr>
          <w:sz w:val="20"/>
          <w:szCs w:val="20"/>
          <w:color w:val="auto"/>
        </w:rPr>
      </w:pPr>
      <w:r>
        <w:rPr>
          <w:rFonts w:ascii="Times New Roman" w:cs="Times New Roman" w:eastAsia="Times New Roman" w:hAnsi="Times New Roman"/>
          <w:sz w:val="18"/>
          <w:szCs w:val="18"/>
          <w:color w:val="auto"/>
        </w:rPr>
        <w:t>The Excess and Surplus Lines segment offers E&amp;S commercial lines liability and property insurance in every U.S. state, the District of Columbia, Puerto Rico and the U.S. Virgin Islands through James River Insurance and its wholly-owned subsidiary, James River Casualty. James River Insurance and James River Casualty are both non-admitted carriers. Non-admitted carriers writing in the E&amp;S market are not bound by most of the rate and form regulations imposed on standard market companies, allowing them flexibility to change the coverage terms offered and the rate charged without the time constraints and financial costs associated with the rate and form filing process. In 2024, the average account in this segment (excluding commercial auto policies) generated annual gross written premiums of approximately $26,800. The Excess and Surplus Lines segment distributes its products primarily through wholesale insurance brokers. Members of our management team have participated in this market for over three decades and have long-standing relationships with the wholesale agents who place E&amp;S lines accounts. The Excess and Surplus Lines segment produced 71.0% of our gross written premiums and 87.5% of our net written premiums for the year ended December 31, 2024.</w:t>
      </w:r>
    </w:p>
    <w:p>
      <w:pPr>
        <w:spacing w:after="0" w:line="79" w:lineRule="exact"/>
        <w:rPr>
          <w:sz w:val="20"/>
          <w:szCs w:val="20"/>
          <w:color w:val="auto"/>
        </w:rPr>
      </w:pPr>
    </w:p>
    <w:p>
      <w:pPr>
        <w:ind w:right="40" w:firstLine="363"/>
        <w:spacing w:after="0" w:line="275" w:lineRule="auto"/>
        <w:rPr>
          <w:sz w:val="20"/>
          <w:szCs w:val="20"/>
          <w:color w:val="auto"/>
        </w:rPr>
      </w:pPr>
      <w:r>
        <w:rPr>
          <w:rFonts w:ascii="Times New Roman" w:cs="Times New Roman" w:eastAsia="Times New Roman" w:hAnsi="Times New Roman"/>
          <w:sz w:val="17"/>
          <w:szCs w:val="17"/>
          <w:color w:val="auto"/>
        </w:rPr>
        <w:t>The Specialty Admitted Insurance segment focuses on niche classes within the standard insurance markets through its fronting business, where we retain a minority share of the risk and seek to earn fee income by allowing other carriers and producers to use our licensure, ratings, expertise and infrastructure. Through Falls Lake National and its subsidiaries, this segment has admitted licenses and the authority to write excess and surplus lines insurance in 50 states and the District of Columbia and distributes through a variety of sources, including program administrators and MGAs. The Specialty Admitted Insurance segment produced 29.0% of our gross written premiums and 12.5% of our net written premiums for the year ended December 31, 2024.</w:t>
      </w:r>
    </w:p>
    <w:p>
      <w:pPr>
        <w:spacing w:after="0" w:line="62" w:lineRule="exact"/>
        <w:rPr>
          <w:sz w:val="20"/>
          <w:szCs w:val="20"/>
          <w:color w:val="auto"/>
        </w:rPr>
      </w:pPr>
    </w:p>
    <w:p>
      <w:pPr>
        <w:ind w:right="40" w:firstLine="323"/>
        <w:spacing w:after="0" w:line="280" w:lineRule="auto"/>
        <w:rPr>
          <w:sz w:val="20"/>
          <w:szCs w:val="20"/>
          <w:color w:val="auto"/>
        </w:rPr>
      </w:pPr>
      <w:r>
        <w:rPr>
          <w:rFonts w:ascii="Times New Roman" w:cs="Times New Roman" w:eastAsia="Times New Roman" w:hAnsi="Times New Roman"/>
          <w:sz w:val="18"/>
          <w:szCs w:val="18"/>
          <w:color w:val="auto"/>
        </w:rPr>
        <w:t>The Corporate and Other segment consists of the management and treasury activities of our holding companies, equity compensation for the group, and interest expense associated with our debt.</w:t>
      </w:r>
    </w:p>
    <w:p>
      <w:pPr>
        <w:spacing w:after="0" w:line="55" w:lineRule="exact"/>
        <w:rPr>
          <w:sz w:val="20"/>
          <w:szCs w:val="20"/>
          <w:color w:val="auto"/>
        </w:rPr>
      </w:pPr>
    </w:p>
    <w:p>
      <w:pPr>
        <w:ind w:right="200" w:firstLine="323"/>
        <w:spacing w:after="0" w:line="259" w:lineRule="auto"/>
        <w:rPr>
          <w:sz w:val="20"/>
          <w:szCs w:val="20"/>
          <w:color w:val="auto"/>
        </w:rPr>
      </w:pPr>
      <w:r>
        <w:rPr>
          <w:rFonts w:ascii="Times New Roman" w:cs="Times New Roman" w:eastAsia="Times New Roman" w:hAnsi="Times New Roman"/>
          <w:sz w:val="18"/>
          <w:szCs w:val="18"/>
          <w:color w:val="auto"/>
        </w:rPr>
        <w:t>Our discontinued operations include JRG Reinsurance Company Ltd. (“JRG Re”), which comprised the remaining operations of the former Casualty Reinsurance segment, and which, prior to the suspension of its underwriting activities in 2023, provided proportional and working layer casualty reinsurance to third parties. On November 8, 2023, the Company entered into a definitive agreement to sell JRG Re. The sale of JRG Re, which closed on April 16, 2024, resulted in the Company’s disposition of its casualty reinsurance business and related assets.</w:t>
      </w:r>
    </w:p>
    <w:p>
      <w:pPr>
        <w:spacing w:after="0" w:line="74" w:lineRule="exact"/>
        <w:rPr>
          <w:sz w:val="20"/>
          <w:szCs w:val="20"/>
          <w:color w:val="auto"/>
        </w:rPr>
      </w:pPr>
    </w:p>
    <w:p>
      <w:pPr>
        <w:ind w:firstLine="323"/>
        <w:spacing w:after="0" w:line="256" w:lineRule="auto"/>
        <w:rPr>
          <w:sz w:val="20"/>
          <w:szCs w:val="20"/>
          <w:color w:val="auto"/>
        </w:rPr>
      </w:pPr>
      <w:r>
        <w:rPr>
          <w:rFonts w:ascii="Times New Roman" w:cs="Times New Roman" w:eastAsia="Times New Roman" w:hAnsi="Times New Roman"/>
          <w:sz w:val="18"/>
          <w:szCs w:val="18"/>
          <w:color w:val="auto"/>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the Company’s U.S.-domiciled insurance subsidiaries were previously parties to intercompany quota share reinsurance agreements that in periods prior to January 1, 2018 ceded 70% of their premiums and losses to JRG Re, and from January 1, 2018 through December 31, 2021, ceded 70% of their premiums and losses to Carolina Re Ltd., a former wholly-owned subsidiary of James River Group (“Carolina 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During 2022, Carolina Re commuted the outstanding obligations ceded under the intercompany quota-share reinsurance agreements back to the Company’s U.S.-based insurance subsidiaries with effect from January 1, 2022. Carolina Re concluded all operations and was dissolved in December 2023. During 2023, JRG Re commuted the outstanding obligations ceded under the intercompany quota share reinsurance agreements back to the Company's U.S.-based insurance subsidiaries with effect from January 1, 2023. We report all segment information in this ‘‘Item 7. Management’s Discussion and Analysis of Financial Condition and Results of Operations’’ prior to the effects of intercompany reinsurance, consistent with the manner in which we evaluate the operating performance of our reportable segments.</w:t>
      </w:r>
    </w:p>
    <w:p>
      <w:pPr>
        <w:spacing w:after="0" w:line="78" w:lineRule="exact"/>
        <w:rPr>
          <w:sz w:val="20"/>
          <w:szCs w:val="20"/>
          <w:color w:val="auto"/>
        </w:rPr>
      </w:pPr>
    </w:p>
    <w:p>
      <w:pPr>
        <w:ind w:right="40" w:firstLine="363"/>
        <w:spacing w:after="0" w:line="256" w:lineRule="auto"/>
        <w:rPr>
          <w:sz w:val="20"/>
          <w:szCs w:val="20"/>
          <w:color w:val="auto"/>
        </w:rPr>
      </w:pPr>
      <w:r>
        <w:rPr>
          <w:rFonts w:ascii="Times New Roman" w:cs="Times New Roman" w:eastAsia="Times New Roman" w:hAnsi="Times New Roman"/>
          <w:sz w:val="18"/>
          <w:szCs w:val="18"/>
          <w:color w:val="auto"/>
        </w:rPr>
        <w:t>The A.M. Best Company financial strength rating for our group’s regulated insurance subsidiaries is “A-” (Excellent) with a negative outlook. This rating reflects A.M. Best’s evaluation of our insurance subsidiaries’ financial strength, operating performance and ability to meet obligations to policyholders and is not an evaluation directed towards the protection of investors. The rating for our operating insurance companies of “A-” (Excellent) is the fourth highest rating of the thirteen ratings issued by A.M. Best and is assigned to insurers that have, in A.M. Best’s opinion, an excellent ability to meet their ongoing obligations to policyholders.</w:t>
      </w:r>
    </w:p>
    <w:p>
      <w:pPr>
        <w:spacing w:after="0" w:line="79" w:lineRule="exact"/>
        <w:rPr>
          <w:sz w:val="20"/>
          <w:szCs w:val="20"/>
          <w:color w:val="auto"/>
        </w:rPr>
      </w:pPr>
    </w:p>
    <w:p>
      <w:pPr>
        <w:ind w:right="60" w:firstLine="363"/>
        <w:spacing w:after="0" w:line="264" w:lineRule="auto"/>
        <w:rPr>
          <w:sz w:val="20"/>
          <w:szCs w:val="20"/>
          <w:color w:val="auto"/>
        </w:rPr>
      </w:pPr>
      <w:r>
        <w:rPr>
          <w:rFonts w:ascii="Times New Roman" w:cs="Times New Roman" w:eastAsia="Times New Roman" w:hAnsi="Times New Roman"/>
          <w:sz w:val="18"/>
          <w:szCs w:val="18"/>
          <w:color w:val="auto"/>
        </w:rPr>
        <w:t>The financial strength ratings assigned by A.M. Best have an impact on the ability of our insurance subsidiaries to attract and retain agents and brokers and on the risk profiles of the submissions for insurance that our subsidiaries receive. We believe the “A-” (Excellent) ratings assigned to our insurance subsidiaries allow our subsidiaries to actively pursue relationships with the agents and brokers identified in their marketing plans.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19" w:lineRule="exact"/>
        <w:rPr>
          <w:sz w:val="20"/>
          <w:szCs w:val="20"/>
          <w:color w:val="auto"/>
        </w:rPr>
      </w:pPr>
    </w:p>
    <w:p>
      <w:pPr>
        <w:ind w:firstLine="323"/>
        <w:spacing w:after="0" w:line="280" w:lineRule="auto"/>
        <w:rPr>
          <w:sz w:val="20"/>
          <w:szCs w:val="20"/>
          <w:color w:val="auto"/>
        </w:rPr>
      </w:pPr>
      <w:r>
        <w:rPr>
          <w:rFonts w:ascii="Times New Roman" w:cs="Times New Roman" w:eastAsia="Times New Roman" w:hAnsi="Times New Roman"/>
          <w:sz w:val="18"/>
          <w:szCs w:val="18"/>
          <w:color w:val="auto"/>
        </w:rPr>
        <w:t>We discuss certain key metrics, described below, which we believe provide useful information about our business and the operational factors underlying our financial performance.</w:t>
      </w:r>
    </w:p>
    <w:p>
      <w:pPr>
        <w:spacing w:after="0" w:line="5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Underwriting profit </w:t>
      </w:r>
      <w:r>
        <w:rPr>
          <w:rFonts w:ascii="Times New Roman" w:cs="Times New Roman" w:eastAsia="Times New Roman" w:hAnsi="Times New Roman"/>
          <w:sz w:val="18"/>
          <w:szCs w:val="18"/>
          <w:color w:val="auto"/>
        </w:rPr>
        <w:t>is a non-GAAP measure commonly used in the property and casualty insurance industry to evaluate underwriting performance.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We define underwriting profit as net earned premiums and gross fee income (in specific instances when the Company is not retaining insurance risk) less losses and loss adjustment expenses on business from continuing operations not subject to retroactive reinsurance accounting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 See “Reconciliation of Non-GAAP Measures” for a reconciliation of underwriting profit to income from continuing operations before taxes and for additional information.</w:t>
      </w:r>
    </w:p>
    <w:p>
      <w:pPr>
        <w:spacing w:after="0" w:line="79"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i w:val="1"/>
          <w:iCs w:val="1"/>
          <w:color w:val="auto"/>
        </w:rPr>
        <w:t>Loss ratio</w:t>
      </w:r>
      <w:r>
        <w:rPr>
          <w:rFonts w:ascii="Times New Roman" w:cs="Times New Roman" w:eastAsia="Times New Roman" w:hAnsi="Times New Roman"/>
          <w:sz w:val="18"/>
          <w:szCs w:val="18"/>
          <w:color w:val="auto"/>
        </w:rPr>
        <w:t>, expressed as a percentage, is the ratio of losses and loss adjustment expenses on business from continuing operations not subject to retroactive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reinsurance accounting to net earned premiums. Our definition of loss ratio may not be comparable to that of other companies. See “Underwriting Performance Ratios” for a reconciliation of underwriting ratios.</w:t>
      </w:r>
    </w:p>
    <w:p>
      <w:pPr>
        <w:spacing w:after="0" w:line="67"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i w:val="1"/>
          <w:iCs w:val="1"/>
          <w:color w:val="auto"/>
        </w:rPr>
        <w:t>Accident year loss ratio</w:t>
      </w:r>
      <w:r>
        <w:rPr>
          <w:rFonts w:ascii="Times New Roman" w:cs="Times New Roman" w:eastAsia="Times New Roman" w:hAnsi="Times New Roman"/>
          <w:sz w:val="17"/>
          <w:szCs w:val="17"/>
          <w:color w:val="auto"/>
        </w:rPr>
        <w:t>, expressed as a percentage, is the ratio of losses and loss adjustment expenses for the current accident year (excluding development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prior accident year reserves) to net earned premiums for the current year (excluding ceded earned premium associated adverse development covers covering prior accident years and net earned premium adjustments on certain reinsurance treaties with reinstatement premiums associated with prior years).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ratio</w:t>
      </w:r>
      <w:r>
        <w:rPr>
          <w:rFonts w:ascii="Times New Roman" w:cs="Times New Roman" w:eastAsia="Times New Roman" w:hAnsi="Times New Roman"/>
          <w:sz w:val="18"/>
          <w:szCs w:val="18"/>
          <w:color w:val="auto"/>
        </w:rPr>
        <w:t>, expressed as a percentage, is the ratio of other operating expenses net of gross fee income included in other income to net earned premiums.</w:t>
      </w:r>
    </w:p>
    <w:p>
      <w:pPr>
        <w:spacing w:after="0" w:line="11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is a measure of underwriting performance calculated as the sum of the loss ratio and the expense ratio. A combined ratio of less than 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indicates an underwriting profit, while a combined ratio greater than 100% reflects an underwriting loss. Our definition of combined ratio may not be comparable to that of other companies. See “Underwriting Performance Ratios” for a reconciliation of underwriting ratios.</w:t>
      </w:r>
    </w:p>
    <w:p>
      <w:pPr>
        <w:spacing w:after="0" w:line="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Adjusted net operating income </w:t>
      </w:r>
      <w:r>
        <w:rPr>
          <w:rFonts w:ascii="Times New Roman" w:cs="Times New Roman" w:eastAsia="Times New Roman" w:hAnsi="Times New Roman"/>
          <w:sz w:val="18"/>
          <w:szCs w:val="18"/>
          <w:color w:val="auto"/>
        </w:rPr>
        <w:t>is an internal performance measure used in the management of our operations. We believe it gives our management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users of our financial information useful insight into our results of operations and our underlying business performance. Adjusted net operating income is defined as income available to common shareholders excluding a) income (loss) from discontinued operations b) the impact of retroactive reinsurance accounting, c) net realized and unrealized gains (losses) on investments, d) certain non-operating expenses such as professional service fees related to certain lawsuits, various strategic initiatives, and the filing of registration statements for the offering of securities, e) severance costs associated with terminated employees, and f) deemed dividends recorded with the amendment of the Series A Preferred Shares. Adjusted net operating income is a non-GAAP measure and should not be viewed as a substitute for net income calculated in accordance with GAAP. Our definition of adjusted net operating income may not be comparable to that of other companies. See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Non-GAAP Measures” for a reconciliation of income available to common shareholders to adjusted net operating income.</w:t>
      </w:r>
    </w:p>
    <w:p>
      <w:pPr>
        <w:spacing w:after="0" w:line="11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Tangible equity </w:t>
      </w:r>
      <w:r>
        <w:rPr>
          <w:rFonts w:ascii="Times New Roman" w:cs="Times New Roman" w:eastAsia="Times New Roman" w:hAnsi="Times New Roman"/>
          <w:sz w:val="18"/>
          <w:szCs w:val="18"/>
          <w:color w:val="auto"/>
        </w:rPr>
        <w:t>is defined as shareholders' equity plus mezzanine Series A Preferred Shares (as defined below) and the unrecognized deferred retroactive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reinsurance gain less goodwill and intangible assets, net of amortization. We believe tangible equity is a good measure to evaluate the strength of our balance sheet and to compare returns relative to this measure. Key financial measures that we use to assess our longer term financial performance include the percentage growth in our tangible equity per share and our return on tangible equity. Tangible equity is a non-GAAP measure and should not be viewed as a substitute for shareholders’ equity calculated in accordance with GAAP. Our definition of tangible equity may not be comparable to that of other companies. See “Reconciliation of Non-GAAP Measures” for a reconciliation of shareholders' equity to tangible equity.</w:t>
      </w:r>
    </w:p>
    <w:p>
      <w:pPr>
        <w:spacing w:after="0" w:line="7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Adjusted net operating return on tangible equity </w:t>
      </w:r>
      <w:r>
        <w:rPr>
          <w:rFonts w:ascii="Times New Roman" w:cs="Times New Roman" w:eastAsia="Times New Roman" w:hAnsi="Times New Roman"/>
          <w:sz w:val="18"/>
          <w:szCs w:val="18"/>
          <w:color w:val="auto"/>
        </w:rPr>
        <w:t>is defined as annualized adjusted net operating income expressed as a percentage of the average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tangible equity balances in the respective period.</w:t>
      </w:r>
    </w:p>
    <w:p>
      <w:pPr>
        <w:spacing w:after="0" w:line="5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Tangible equity per share </w:t>
      </w:r>
      <w:r>
        <w:rPr>
          <w:rFonts w:ascii="Times New Roman" w:cs="Times New Roman" w:eastAsia="Times New Roman" w:hAnsi="Times New Roman"/>
          <w:sz w:val="18"/>
          <w:szCs w:val="18"/>
          <w:color w:val="auto"/>
        </w:rPr>
        <w:t>represents tangible equity divided by the sum of total common shares outstanding plus the common shares resulting from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conversion of the outstanding Series A Preferred Shares into common shares (at the conversion price effective as of the last day of the applicable period).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Net retention </w:t>
      </w:r>
      <w:r>
        <w:rPr>
          <w:rFonts w:ascii="Times New Roman" w:cs="Times New Roman" w:eastAsia="Times New Roman" w:hAnsi="Times New Roman"/>
          <w:sz w:val="18"/>
          <w:szCs w:val="18"/>
          <w:color w:val="auto"/>
        </w:rPr>
        <w:t>is defined as the ratio of net written premiums to gross written premiums.</w:t>
      </w:r>
    </w:p>
    <w:p>
      <w:pPr>
        <w:spacing w:after="0" w:line="11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Gross investment yield </w:t>
      </w:r>
      <w:r>
        <w:rPr>
          <w:rFonts w:ascii="Times New Roman" w:cs="Times New Roman" w:eastAsia="Times New Roman" w:hAnsi="Times New Roman"/>
          <w:sz w:val="18"/>
          <w:szCs w:val="18"/>
          <w:color w:val="auto"/>
        </w:rPr>
        <w:t>is annualized investment income before any deductions for fees and expenses, expressed as a percentage of the average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ending carrying values of those investments during the period.</w:t>
      </w:r>
    </w:p>
    <w:p>
      <w:pPr>
        <w:spacing w:after="0" w:line="53" w:lineRule="exact"/>
        <w:rPr>
          <w:sz w:val="20"/>
          <w:szCs w:val="20"/>
          <w:color w:val="auto"/>
        </w:rPr>
      </w:pPr>
    </w:p>
    <w:p>
      <w:pPr>
        <w:ind w:right="120" w:firstLine="323"/>
        <w:spacing w:after="0" w:line="256" w:lineRule="auto"/>
        <w:rPr>
          <w:sz w:val="20"/>
          <w:szCs w:val="20"/>
          <w:color w:val="auto"/>
        </w:rPr>
      </w:pPr>
      <w:r>
        <w:rPr>
          <w:rFonts w:ascii="Times New Roman" w:cs="Times New Roman" w:eastAsia="Times New Roman" w:hAnsi="Times New Roman"/>
          <w:sz w:val="18"/>
          <w:szCs w:val="18"/>
          <w:color w:val="auto"/>
        </w:rPr>
        <w:t>Unless specified otherwise, all references to our defined metrics above in this “Item 7. Management’s Discussion and Analysis of Financial Condition and Results of Operations” are for our business from continuing operations that is not subject to retroactive reinsurance accounting. Management believes that the lack of economic impact of retroactive reinsurance accounting makes the presentation of our key metrics on business not subject to retroactive reinsurance accounting helpful to the users of our financial information. See “Underwriting Performance Ratios” and “Reconciliation of Non-GAAP Measures.”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9" w:lineRule="exact"/>
        <w:rPr>
          <w:sz w:val="20"/>
          <w:szCs w:val="20"/>
          <w:color w:val="auto"/>
        </w:rPr>
      </w:pPr>
    </w:p>
    <w:p>
      <w:pPr>
        <w:ind w:firstLine="363"/>
        <w:spacing w:after="0" w:line="254" w:lineRule="auto"/>
        <w:rPr>
          <w:sz w:val="20"/>
          <w:szCs w:val="20"/>
          <w:color w:val="auto"/>
        </w:rPr>
      </w:pPr>
      <w:r>
        <w:rPr>
          <w:rFonts w:ascii="Times New Roman" w:cs="Times New Roman" w:eastAsia="Times New Roman" w:hAnsi="Times New Roman"/>
          <w:sz w:val="18"/>
          <w:szCs w:val="18"/>
          <w:color w:val="auto"/>
        </w:rPr>
        <w:t>We identified the accounting estimates below as critical to the understanding of our financial position and results of operations. Critical accounting estimates are defined as those estimates that are both important to the portrayal of our financial condition and results of operations and which require us to exercise significant judgment. We use significant judgment concerning future results and developments in applying these critical accounting estimates and in preparing our consolidated financial statements. These judgments and estimates affect the reported amounts of assets, liabilities, revenues and expenses and the disclosure of material contingent assets and liabilities. Actual results may differ materially from the estimates and assumptions used in preparing the consolidated financial statements. We evaluate our estimates regularly using information that we believe to be relevant. For a detailed discussion of our accounting policies, see “Notes to Consolidated Financial Statements” included in this Form 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 for Losses and Loss Adjustment Expenses</w:t>
      </w:r>
    </w:p>
    <w:p>
      <w:pPr>
        <w:spacing w:after="0" w:line="119" w:lineRule="exact"/>
        <w:rPr>
          <w:sz w:val="20"/>
          <w:szCs w:val="20"/>
          <w:color w:val="auto"/>
        </w:rPr>
      </w:pPr>
    </w:p>
    <w:p>
      <w:pPr>
        <w:ind w:right="20" w:firstLine="363"/>
        <w:spacing w:after="0" w:line="253" w:lineRule="auto"/>
        <w:rPr>
          <w:sz w:val="20"/>
          <w:szCs w:val="20"/>
          <w:color w:val="auto"/>
        </w:rPr>
      </w:pPr>
      <w:r>
        <w:rPr>
          <w:rFonts w:ascii="Times New Roman" w:cs="Times New Roman" w:eastAsia="Times New Roman" w:hAnsi="Times New Roman"/>
          <w:sz w:val="18"/>
          <w:szCs w:val="18"/>
          <w:color w:val="auto"/>
        </w:rPr>
        <w:t>The reserve for losses and loss adjustment expenses represents our estimated ultimate cost of all reported and unreported losses and loss adjustment expenses incurred and unpaid at the balance sheet date. We do not discount this reserve. We estimate the reserve using individual case-basis valuations of reported claims and statistical analysis. We believe that the use of judgment is necessary to arrive at a best estimate for the reserve for losses and loss adjustment expenses given the long-tailed nature of the business generally written by the Company and the limited operating experience of the fronting and program business in the Specialty Admitted Insurance segment. In applying this judgment, we may establish reserves that differ from our internal actuaries’ estimate. We seek to establish reserves that will ultimately prove to be adequate. If we have indications that claims frequency or severity exceeds our initial expectations, we generally increase our reserves for losses and loss adjustment expenses. Conversely, when claims frequency and severity trends are more favorable than initially anticipated, we generally reduce our reserves for losses and loss adjustment expenses once we have sufficient data to confirm the validity of the favorable trends.</w:t>
      </w:r>
    </w:p>
    <w:p>
      <w:pPr>
        <w:spacing w:after="0" w:line="79" w:lineRule="exact"/>
        <w:rPr>
          <w:sz w:val="20"/>
          <w:szCs w:val="20"/>
          <w:color w:val="auto"/>
        </w:rPr>
      </w:pPr>
    </w:p>
    <w:p>
      <w:pPr>
        <w:ind w:right="200" w:firstLine="363"/>
        <w:spacing w:after="0" w:line="259" w:lineRule="auto"/>
        <w:rPr>
          <w:sz w:val="20"/>
          <w:szCs w:val="20"/>
          <w:color w:val="auto"/>
        </w:rPr>
      </w:pPr>
      <w:r>
        <w:rPr>
          <w:rFonts w:ascii="Times New Roman" w:cs="Times New Roman" w:eastAsia="Times New Roman" w:hAnsi="Times New Roman"/>
          <w:sz w:val="18"/>
          <w:szCs w:val="18"/>
          <w:color w:val="auto"/>
        </w:rPr>
        <w:t>Our Excess and Surplus Lines and Specialty Admitted Insurance segments generally are notified of losses by our insureds or their brokers. Based on the information provided, we establish case reserves by estimating the ultimate losses from the claim, including administrative costs associated with the ultimate settlement of the claim. Our claims department personnel use their knowledge of the specific claim along with internal and external experts, including underwriters and legal counsel, to estimate the expected ultimate losses.</w:t>
      </w:r>
    </w:p>
    <w:p>
      <w:pPr>
        <w:spacing w:after="0" w:line="74" w:lineRule="exact"/>
        <w:rPr>
          <w:sz w:val="20"/>
          <w:szCs w:val="20"/>
          <w:color w:val="auto"/>
        </w:rPr>
      </w:pPr>
    </w:p>
    <w:p>
      <w:pPr>
        <w:ind w:right="20" w:firstLine="363"/>
        <w:spacing w:after="0" w:line="264" w:lineRule="auto"/>
        <w:rPr>
          <w:sz w:val="20"/>
          <w:szCs w:val="20"/>
          <w:color w:val="auto"/>
        </w:rPr>
      </w:pPr>
      <w:r>
        <w:rPr>
          <w:rFonts w:ascii="Times New Roman" w:cs="Times New Roman" w:eastAsia="Times New Roman" w:hAnsi="Times New Roman"/>
          <w:sz w:val="18"/>
          <w:szCs w:val="18"/>
          <w:color w:val="auto"/>
        </w:rPr>
        <w:t>We also use statistical analysis to estimate the cost of losses and loss adjustment expenses that have been incurred but not reported to us. Those estimates are based on our historical information, industry information and estimates of future trends that may affect the frequency of claims and changes in the average cost of claims (severity) that may arise in the future.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gross reserve for losses and loss adjustment expenses at December 31, 2024 was $3,084.4 million. Of this amount, 73.3% relates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IBNR. The Company’s gross reserve for losses and loss adjustment expenses by segment are summarized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Gross Reserves at December 31, 2024</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Case</w:t>
            </w:r>
          </w:p>
        </w:tc>
        <w:tc>
          <w:tcPr>
            <w:tcW w:w="200" w:type="dxa"/>
            <w:vAlign w:val="bottom"/>
          </w:tcPr>
          <w:p>
            <w:pPr>
              <w:spacing w:after="0"/>
              <w:rPr>
                <w:sz w:val="11"/>
                <w:szCs w:val="11"/>
                <w:color w:val="auto"/>
              </w:rPr>
            </w:pPr>
          </w:p>
        </w:tc>
        <w:tc>
          <w:tcPr>
            <w:tcW w:w="12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IBNR</w:t>
            </w:r>
          </w:p>
        </w:tc>
        <w:tc>
          <w:tcPr>
            <w:tcW w:w="500" w:type="dxa"/>
            <w:vAlign w:val="bottom"/>
          </w:tcPr>
          <w:p>
            <w:pPr>
              <w:spacing w:after="0"/>
              <w:rPr>
                <w:sz w:val="11"/>
                <w:szCs w:val="11"/>
                <w:color w:val="auto"/>
              </w:rPr>
            </w:pPr>
          </w:p>
        </w:tc>
        <w:tc>
          <w:tcPr>
            <w:tcW w:w="80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1540" w:type="dxa"/>
            <w:vAlign w:val="bottom"/>
          </w:tcPr>
          <w:p>
            <w:pPr>
              <w:jc w:val="right"/>
              <w:ind w:right="358"/>
              <w:spacing w:after="0" w:line="130" w:lineRule="exact"/>
              <w:rPr>
                <w:sz w:val="20"/>
                <w:szCs w:val="20"/>
                <w:color w:val="auto"/>
              </w:rPr>
            </w:pPr>
            <w:r>
              <w:rPr>
                <w:rFonts w:ascii="Times New Roman" w:cs="Times New Roman" w:eastAsia="Times New Roman" w:hAnsi="Times New Roman"/>
                <w:sz w:val="14"/>
                <w:szCs w:val="14"/>
                <w:b w:val="1"/>
                <w:bCs w:val="1"/>
                <w:color w:val="auto"/>
              </w:rPr>
              <w:t>IBNR %</w:t>
            </w:r>
          </w:p>
        </w:tc>
        <w:tc>
          <w:tcPr>
            <w:tcW w:w="0" w:type="dxa"/>
            <w:vAlign w:val="bottom"/>
          </w:tcPr>
          <w:p>
            <w:pPr>
              <w:spacing w:after="0"/>
              <w:rPr>
                <w:sz w:val="1"/>
                <w:szCs w:val="1"/>
                <w:color w:val="auto"/>
              </w:rPr>
            </w:pPr>
          </w:p>
        </w:tc>
      </w:tr>
      <w:tr>
        <w:trPr>
          <w:trHeight w:val="193"/>
        </w:trPr>
        <w:tc>
          <w:tcPr>
            <w:tcW w:w="5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449,449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1,776,589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2,226,038</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0" w:type="dxa"/>
            <w:vAlign w:val="bottom"/>
          </w:tcPr>
          <w:p>
            <w:pPr>
              <w:spacing w:after="0"/>
              <w:rPr>
                <w:sz w:val="1"/>
                <w:szCs w:val="1"/>
                <w:color w:val="auto"/>
              </w:rPr>
            </w:pPr>
          </w:p>
        </w:tc>
      </w:tr>
      <w:tr>
        <w:trPr>
          <w:trHeight w:val="228"/>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483,376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858,368</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56.3 %</w:t>
            </w:r>
          </w:p>
        </w:tc>
        <w:tc>
          <w:tcPr>
            <w:tcW w:w="0" w:type="dxa"/>
            <w:vAlign w:val="bottom"/>
          </w:tcPr>
          <w:p>
            <w:pPr>
              <w:spacing w:after="0"/>
              <w:rPr>
                <w:sz w:val="1"/>
                <w:szCs w:val="1"/>
                <w:color w:val="auto"/>
              </w:rPr>
            </w:pPr>
          </w:p>
        </w:tc>
      </w:tr>
      <w:tr>
        <w:trPr>
          <w:trHeight w:val="247"/>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2,259,965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3,084,406</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right="100" w:firstLine="363"/>
        <w:spacing w:after="0" w:line="264" w:lineRule="auto"/>
        <w:rPr>
          <w:sz w:val="20"/>
          <w:szCs w:val="20"/>
          <w:color w:val="auto"/>
        </w:rPr>
      </w:pPr>
      <w:r>
        <w:rPr>
          <w:rFonts w:ascii="Times New Roman" w:cs="Times New Roman" w:eastAsia="Times New Roman" w:hAnsi="Times New Roman"/>
          <w:sz w:val="18"/>
          <w:szCs w:val="18"/>
          <w:color w:val="auto"/>
        </w:rPr>
        <w:t>The Company’s net reserve for losses and loss adjustment expenses prior to the $1.2 million allowance for credit losses on reinsurance recoverables at December 31, 2024 was $1,086.3 million. Of this amount, 63.5% relates to IBNR. The Company’s net reserve for losses and loss adjustment expenses by segment are summarized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Net Reserves at December 31, 2024</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Case</w:t>
            </w:r>
          </w:p>
        </w:tc>
        <w:tc>
          <w:tcPr>
            <w:tcW w:w="240" w:type="dxa"/>
            <w:vAlign w:val="bottom"/>
          </w:tcPr>
          <w:p>
            <w:pPr>
              <w:spacing w:after="0"/>
              <w:rPr>
                <w:sz w:val="11"/>
                <w:szCs w:val="11"/>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IBNR</w:t>
            </w:r>
          </w:p>
        </w:tc>
        <w:tc>
          <w:tcPr>
            <w:tcW w:w="500" w:type="dxa"/>
            <w:vAlign w:val="bottom"/>
          </w:tcPr>
          <w:p>
            <w:pPr>
              <w:spacing w:after="0"/>
              <w:rPr>
                <w:sz w:val="11"/>
                <w:szCs w:val="11"/>
                <w:color w:val="auto"/>
              </w:rPr>
            </w:pPr>
          </w:p>
        </w:tc>
        <w:tc>
          <w:tcPr>
            <w:tcW w:w="80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1540" w:type="dxa"/>
            <w:vAlign w:val="bottom"/>
          </w:tcPr>
          <w:p>
            <w:pPr>
              <w:jc w:val="right"/>
              <w:ind w:right="358"/>
              <w:spacing w:after="0" w:line="128" w:lineRule="exact"/>
              <w:rPr>
                <w:sz w:val="20"/>
                <w:szCs w:val="20"/>
                <w:color w:val="auto"/>
              </w:rPr>
            </w:pPr>
            <w:r>
              <w:rPr>
                <w:rFonts w:ascii="Times New Roman" w:cs="Times New Roman" w:eastAsia="Times New Roman" w:hAnsi="Times New Roman"/>
                <w:sz w:val="14"/>
                <w:szCs w:val="14"/>
                <w:b w:val="1"/>
                <w:bCs w:val="1"/>
                <w:color w:val="auto"/>
              </w:rPr>
              <w:t>IBNR %</w:t>
            </w: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612,823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946,465</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0" w:type="dxa"/>
            <w:vAlign w:val="bottom"/>
          </w:tcPr>
          <w:p>
            <w:pPr>
              <w:spacing w:after="0"/>
              <w:rPr>
                <w:sz w:val="1"/>
                <w:szCs w:val="1"/>
                <w:color w:val="auto"/>
              </w:rPr>
            </w:pPr>
          </w:p>
        </w:tc>
      </w:tr>
      <w:tr>
        <w:trPr>
          <w:trHeight w:val="228"/>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139,813</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55.2 %</w:t>
            </w:r>
          </w:p>
        </w:tc>
        <w:tc>
          <w:tcPr>
            <w:tcW w:w="0" w:type="dxa"/>
            <w:vAlign w:val="bottom"/>
          </w:tcPr>
          <w:p>
            <w:pPr>
              <w:spacing w:after="0"/>
              <w:rPr>
                <w:sz w:val="1"/>
                <w:szCs w:val="1"/>
                <w:color w:val="auto"/>
              </w:rPr>
            </w:pPr>
          </w:p>
        </w:tc>
      </w:tr>
      <w:tr>
        <w:trPr>
          <w:trHeight w:val="247"/>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1,086,278</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180" w:firstLine="363"/>
        <w:spacing w:after="0" w:line="259" w:lineRule="auto"/>
        <w:rPr>
          <w:sz w:val="20"/>
          <w:szCs w:val="20"/>
          <w:color w:val="auto"/>
        </w:rPr>
      </w:pPr>
      <w:r>
        <w:rPr>
          <w:rFonts w:ascii="Times New Roman" w:cs="Times New Roman" w:eastAsia="Times New Roman" w:hAnsi="Times New Roman"/>
          <w:sz w:val="18"/>
          <w:szCs w:val="18"/>
          <w:color w:val="auto"/>
        </w:rPr>
        <w:t>Our Reserve Committee consists of our Chief Executive Officer, Chief Financial Officer, Chief Accounting Officer, and Chief Actuary. Additionally, the presidents, chief financial officers and segment actuaries of each of our insurance segments participate in the Reserve Committee meetings for their respective segments. The Reserve Committee meets quarterly to review the actuarial recommendations made by each segment actuary and use their best judgment to determine the best estimate to be recorded for the reserve for losses and loss adjustment expenses on our balance sheet.</w:t>
      </w:r>
    </w:p>
    <w:p>
      <w:pPr>
        <w:spacing w:after="0" w:line="74" w:lineRule="exact"/>
        <w:rPr>
          <w:sz w:val="20"/>
          <w:szCs w:val="20"/>
          <w:color w:val="auto"/>
        </w:rPr>
      </w:pPr>
    </w:p>
    <w:p>
      <w:pPr>
        <w:ind w:right="160" w:firstLine="363"/>
        <w:spacing w:after="0" w:line="259" w:lineRule="auto"/>
        <w:rPr>
          <w:sz w:val="20"/>
          <w:szCs w:val="20"/>
          <w:color w:val="auto"/>
        </w:rPr>
      </w:pPr>
      <w:r>
        <w:rPr>
          <w:rFonts w:ascii="Times New Roman" w:cs="Times New Roman" w:eastAsia="Times New Roman" w:hAnsi="Times New Roman"/>
          <w:sz w:val="18"/>
          <w:szCs w:val="18"/>
          <w:color w:val="auto"/>
        </w:rPr>
        <w:t>We engage an independent internationally recognized actuarial consulting firm to review our reserves for losses and loss adjustment expenses in the third and fourth quarters of each year. This independent actuarial consulting firm prepares its own estimate of our reserve for losses and loss adjustment expenses, and we compare their estimate to the reserve for losses and loss adjustment expenses reviewed and approved by the Reserve Committee in order to corroborate the adequacy of our reserves.</w:t>
      </w:r>
    </w:p>
    <w:p>
      <w:pPr>
        <w:spacing w:after="0" w:line="74" w:lineRule="exact"/>
        <w:rPr>
          <w:sz w:val="20"/>
          <w:szCs w:val="20"/>
          <w:color w:val="auto"/>
        </w:rPr>
      </w:pPr>
    </w:p>
    <w:p>
      <w:pPr>
        <w:ind w:right="60" w:firstLine="363"/>
        <w:spacing w:after="0" w:line="268" w:lineRule="auto"/>
        <w:rPr>
          <w:sz w:val="20"/>
          <w:szCs w:val="20"/>
          <w:color w:val="auto"/>
        </w:rPr>
      </w:pPr>
      <w:r>
        <w:rPr>
          <w:rFonts w:ascii="Times New Roman" w:cs="Times New Roman" w:eastAsia="Times New Roman" w:hAnsi="Times New Roman"/>
          <w:sz w:val="17"/>
          <w:szCs w:val="17"/>
          <w:color w:val="auto"/>
        </w:rPr>
        <w:t>The process of estimating the reserve for losses and loss adjustment expenses requires a high degree of judgment and is subject to a number of variables. In establishing the quarterly actuarial recommendation for the reserve for losses and loss adjustment expenses, our actuaries estimate an initial expected ultimate loss ratio for each of our product lines by accident year. Input from our underwriting and claims departments, including premium pricing assumptions and historical experience, are considered by our internal actuaries in estimating the initial expected loss ratios. Our actuaries generally utilize five primary actuarial methods in their estimation process for the reserve for losses and loss adjustment expenses. These primary methods are supplemented by additional actuarial methods as the Chief Actuary considers appropriate. For example, these supplemental methods can include frequency and severity methods that use claim count data to estimate ultimate losses and loss adjustment expenses. These claims frequency and severity methods may be appropriate for some lines of business and inappropriate for others. The Chief Actuary uses professional judgment to determine when additional methods should be used to supplement the five primary methods. The five primary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 The five primary actuarial methods that we use in our reserve estimation process are: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Loss Method</w:t>
      </w:r>
    </w:p>
    <w:p>
      <w:pPr>
        <w:spacing w:after="0" w:line="117" w:lineRule="exact"/>
        <w:rPr>
          <w:sz w:val="20"/>
          <w:szCs w:val="20"/>
          <w:color w:val="auto"/>
        </w:rPr>
      </w:pPr>
    </w:p>
    <w:p>
      <w:pPr>
        <w:ind w:firstLine="363"/>
        <w:spacing w:after="0" w:line="288" w:lineRule="auto"/>
        <w:rPr>
          <w:sz w:val="20"/>
          <w:szCs w:val="20"/>
          <w:color w:val="auto"/>
        </w:rPr>
      </w:pPr>
      <w:r>
        <w:rPr>
          <w:rFonts w:ascii="Times New Roman" w:cs="Times New Roman" w:eastAsia="Times New Roman" w:hAnsi="Times New Roman"/>
          <w:sz w:val="17"/>
          <w:szCs w:val="17"/>
          <w:color w:val="auto"/>
        </w:rPr>
        <w:t>The Expected Loss method multiplies earned premiums by an initial expected loss ratio. In our Excess and Surplus Lines segment and for our Workers’ Compensation book in the Specialty Admitted Insurance segment, the initial expected loss ratio is estimated based on adjusting book of business prior 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experience to current cost and rate level. In our programs business within the Specialty Admitted Insurance segment, the expected loss ratio is based on the</w:t>
      </w:r>
    </w:p>
    <w:p>
      <w:pPr>
        <w:spacing w:after="0" w:line="62"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color w:val="auto"/>
        </w:rPr>
        <w:t>actuarial pricing of the individual account. Alternatively, when company experience lacks historical depth, initial expected loss ratios can be determined using loss ratios implied by industry loss costs for the class or reported industry loss ratios.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Incurred Loss Development Method</w:t>
      </w:r>
    </w:p>
    <w:p>
      <w:pPr>
        <w:spacing w:after="0" w:line="117" w:lineRule="exact"/>
        <w:rPr>
          <w:sz w:val="20"/>
          <w:szCs w:val="20"/>
          <w:color w:val="auto"/>
        </w:rPr>
      </w:pPr>
    </w:p>
    <w:p>
      <w:pPr>
        <w:ind w:right="320" w:firstLine="363"/>
        <w:spacing w:after="0" w:line="288" w:lineRule="auto"/>
        <w:rPr>
          <w:sz w:val="20"/>
          <w:szCs w:val="20"/>
          <w:color w:val="auto"/>
        </w:rPr>
      </w:pPr>
      <w:r>
        <w:rPr>
          <w:rFonts w:ascii="Times New Roman" w:cs="Times New Roman" w:eastAsia="Times New Roman" w:hAnsi="Times New Roman"/>
          <w:sz w:val="17"/>
          <w:szCs w:val="17"/>
          <w:color w:val="auto"/>
        </w:rPr>
        <w:t>The Incurred Loss Development method uses historical loss reporting patterns by accident year to estimate future loss reporting patterns. In this method, our actuaries review historical loss reporting patterns to develop incurred loss development factors that are applied to current reported losses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calculate ultimate losses.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Paid Loss Development Method</w:t>
      </w:r>
    </w:p>
    <w:p>
      <w:pPr>
        <w:spacing w:after="0" w:line="117" w:lineRule="exact"/>
        <w:rPr>
          <w:sz w:val="20"/>
          <w:szCs w:val="20"/>
          <w:color w:val="auto"/>
        </w:rPr>
      </w:pPr>
    </w:p>
    <w:p>
      <w:pPr>
        <w:ind w:right="20" w:firstLine="363"/>
        <w:spacing w:after="0" w:line="264" w:lineRule="auto"/>
        <w:rPr>
          <w:sz w:val="20"/>
          <w:szCs w:val="20"/>
          <w:color w:val="auto"/>
        </w:rPr>
      </w:pPr>
      <w:r>
        <w:rPr>
          <w:rFonts w:ascii="Times New Roman" w:cs="Times New Roman" w:eastAsia="Times New Roman" w:hAnsi="Times New Roman"/>
          <w:sz w:val="18"/>
          <w:szCs w:val="18"/>
          <w:color w:val="auto"/>
        </w:rPr>
        <w:t>The Paid Loss Development method is similar to the Incurred Loss Development method, but it uses historical loss payment patterns to estimate future loss payment patterns. In this method, our actuaries apply historical loss payment patterns to develop paid loss development factors that are applied to current paid losses to calculate expected ultimate losses.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Bornhuetter-Ferguson Incurred Loss Development Method</w:t>
      </w:r>
    </w:p>
    <w:p>
      <w:pPr>
        <w:spacing w:after="0" w:line="117" w:lineRule="exact"/>
        <w:rPr>
          <w:sz w:val="20"/>
          <w:szCs w:val="20"/>
          <w:color w:val="auto"/>
        </w:rPr>
      </w:pPr>
    </w:p>
    <w:p>
      <w:pPr>
        <w:ind w:right="60" w:firstLine="363"/>
        <w:spacing w:after="0" w:line="288" w:lineRule="auto"/>
        <w:rPr>
          <w:sz w:val="20"/>
          <w:szCs w:val="20"/>
          <w:color w:val="auto"/>
        </w:rPr>
      </w:pPr>
      <w:r>
        <w:rPr>
          <w:rFonts w:ascii="Times New Roman" w:cs="Times New Roman" w:eastAsia="Times New Roman" w:hAnsi="Times New Roman"/>
          <w:sz w:val="17"/>
          <w:szCs w:val="17"/>
          <w:color w:val="auto"/>
        </w:rPr>
        <w:t>The Bornhuetter-Ferguson Incurred Loss Development method divides the projection of ultimate losses into the portion that has already been reported and the portion that has yet to be reported. The portion that has yet to be reported is estimated as the product of premiums earned for the accident year, the</w:t>
      </w:r>
    </w:p>
    <w:p>
      <w:pPr>
        <w:spacing w:after="0" w:line="1" w:lineRule="exact"/>
        <w:rPr>
          <w:sz w:val="20"/>
          <w:szCs w:val="20"/>
          <w:color w:val="auto"/>
        </w:rPr>
      </w:pPr>
    </w:p>
    <w:p>
      <w:pPr>
        <w:ind w:right="820"/>
        <w:spacing w:after="0" w:line="280" w:lineRule="auto"/>
        <w:rPr>
          <w:sz w:val="20"/>
          <w:szCs w:val="20"/>
          <w:color w:val="auto"/>
        </w:rPr>
      </w:pPr>
      <w:r>
        <w:rPr>
          <w:rFonts w:ascii="Times New Roman" w:cs="Times New Roman" w:eastAsia="Times New Roman" w:hAnsi="Times New Roman"/>
          <w:sz w:val="18"/>
          <w:szCs w:val="18"/>
          <w:color w:val="auto"/>
        </w:rPr>
        <w:t>initial expected ultimate loss ratio and an estimate of the percentage of ultimate losses that are unreported at the valuation date. This technique is particularly valuable when there is a low volume of business being reviewed and reported losses lack historical depth.</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Bornhuetter-Ferguson Paid Loss Development Method</w:t>
      </w:r>
    </w:p>
    <w:p>
      <w:pPr>
        <w:spacing w:after="0" w:line="117" w:lineRule="exact"/>
        <w:rPr>
          <w:sz w:val="20"/>
          <w:szCs w:val="20"/>
          <w:color w:val="auto"/>
        </w:rPr>
      </w:pPr>
    </w:p>
    <w:p>
      <w:pPr>
        <w:ind w:firstLine="363"/>
        <w:spacing w:after="0" w:line="259" w:lineRule="auto"/>
        <w:rPr>
          <w:sz w:val="20"/>
          <w:szCs w:val="20"/>
          <w:color w:val="auto"/>
        </w:rPr>
      </w:pPr>
      <w:r>
        <w:rPr>
          <w:rFonts w:ascii="Times New Roman" w:cs="Times New Roman" w:eastAsia="Times New Roman" w:hAnsi="Times New Roman"/>
          <w:sz w:val="18"/>
          <w:szCs w:val="18"/>
          <w:color w:val="auto"/>
        </w:rPr>
        <w:t>The Bornhuetter-Ferguson Paid Loss Development method is similar to the Bornhuetter-Ferguson Incurred Loss Development method, except this method divides the projection of ultimate losses into the portion that has already been paid and the portion that has yet to be paid. The portion that has yet to be paid is estimated as the product of premiums earned for the accident year, the initial expected ultimate loss ratio and an estimate of the percentage of ultimate losses that are unpaid at the valuation date. This approach assumes that the paid experience has no effect on the subsequent paid loss emergence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Again, this technique is particularly valuable when there is a low volume of business being reviewed and paid losses lack historical depth.</w:t>
      </w:r>
    </w:p>
    <w:p>
      <w:pPr>
        <w:spacing w:after="0" w:line="129" w:lineRule="exact"/>
        <w:rPr>
          <w:sz w:val="20"/>
          <w:szCs w:val="20"/>
          <w:color w:val="auto"/>
        </w:rPr>
      </w:pPr>
    </w:p>
    <w:p>
      <w:pPr>
        <w:ind w:right="40" w:firstLine="363"/>
        <w:spacing w:after="0" w:line="252" w:lineRule="auto"/>
        <w:rPr>
          <w:sz w:val="20"/>
          <w:szCs w:val="20"/>
          <w:color w:val="auto"/>
        </w:rPr>
      </w:pPr>
      <w:r>
        <w:rPr>
          <w:rFonts w:ascii="Times New Roman" w:cs="Times New Roman" w:eastAsia="Times New Roman" w:hAnsi="Times New Roman"/>
          <w:sz w:val="18"/>
          <w:szCs w:val="18"/>
          <w:color w:val="auto"/>
        </w:rPr>
        <w:t>Different reserving methods are appropriate in different situations, and our actuaries use their judgment and experience to determine the weighting of the methods detailed above to use for each accident year and each line of business. For example, the current accident year has very little incurred and paid loss development data on which to base reserve projections. As a result, we rely heavily on the Expected Loss Method in estimating reserves for the current accident year. The Company generally sets the initial expected loss ratio for the current accident year consistent with the internal actuaries’ pricing assumptions adjusted upward where warranted based on management's judgment in order to produce the best estimate. We believe that this is a reasonable and appropriate reserving assumption for the current accident year since our pricing assumptions are actuarially driven and since we expect to make an acceptable return on the new business that we write. If actual loss emergence is better than our initial expected loss ratio assumptions, we will experience favorable development, and if it is worse than our initial expected loss ratio assumptions, we will experience adverse development. Conversely, sufficient incurred and paid loss development is available for our oldest accident years, so more weight is given to the Incurred Loss Development method and the Paid Loss Development method than the Expected Loss Method. The Bornhuetter-Ferguson Incurred Loss Development and Paid Loss Development methods blend features of the Expected Loss Method and the Incurred and Paid Loss Development methods. The Bornhuetter-Ferguson methods are typically used for the more recent prior accident years.</w:t>
      </w:r>
    </w:p>
    <w:p>
      <w:pPr>
        <w:spacing w:after="0" w:line="79" w:lineRule="exact"/>
        <w:rPr>
          <w:sz w:val="20"/>
          <w:szCs w:val="20"/>
          <w:color w:val="auto"/>
        </w:rPr>
      </w:pPr>
    </w:p>
    <w:p>
      <w:pPr>
        <w:ind w:firstLine="363"/>
        <w:spacing w:after="0" w:line="252" w:lineRule="auto"/>
        <w:rPr>
          <w:sz w:val="20"/>
          <w:szCs w:val="20"/>
          <w:color w:val="auto"/>
        </w:rPr>
      </w:pPr>
      <w:r>
        <w:rPr>
          <w:rFonts w:ascii="Times New Roman" w:cs="Times New Roman" w:eastAsia="Times New Roman" w:hAnsi="Times New Roman"/>
          <w:sz w:val="18"/>
          <w:szCs w:val="18"/>
          <w:color w:val="auto"/>
        </w:rPr>
        <w:t>In applying these methods to develop an estimate of the reserve for losses and loss adjustment expenses, our actuaries use judgment to determine three key parameters for each accident year and line of business: the initial expected loss ratios, the incurred and paid loss development factors and the weighting of the actuarial methods to be used for each accident year and line of business. Judgment is also required to make actuarial adjustments, if needed, for changes in claims processing and case reserving that could cause current reported loss and paid loss development patterns to deviate from historical patterns. For the Excess and Surplus Lines segment, the segment actuary performs a study on each of these parameters at least annually and makes recommendations for the initial expected loss ratios, the incurred and paid loss development factors and the weighting of the actuarial methods by accident year and line of business. Members of the Reserve Committee review and approve the parameter review actuarial recommendations, and absent any developments requiring an earlier review, these approved parameters are generally used in the reserve estimation process for the next four quarters at which time a new parameter study is performed. For the Specialty Admitted Insurance segment, expected loss ratios, loss development factors, and loss cost trends are reviewed and updated at least annually.</w:t>
      </w:r>
    </w:p>
    <w:p>
      <w:pPr>
        <w:spacing w:after="0" w:line="84" w:lineRule="exact"/>
        <w:rPr>
          <w:sz w:val="20"/>
          <w:szCs w:val="20"/>
          <w:color w:val="auto"/>
        </w:rPr>
      </w:pPr>
    </w:p>
    <w:p>
      <w:pPr>
        <w:ind w:right="60" w:firstLine="363"/>
        <w:spacing w:after="0" w:line="259" w:lineRule="auto"/>
        <w:rPr>
          <w:sz w:val="20"/>
          <w:szCs w:val="20"/>
          <w:color w:val="auto"/>
        </w:rPr>
      </w:pPr>
      <w:r>
        <w:rPr>
          <w:rFonts w:ascii="Times New Roman" w:cs="Times New Roman" w:eastAsia="Times New Roman" w:hAnsi="Times New Roman"/>
          <w:sz w:val="18"/>
          <w:szCs w:val="18"/>
          <w:color w:val="auto"/>
        </w:rPr>
        <w:t>The table below quantifies the impact of extreme reserve deviations from our expected value at December 31, 2024. The total carried net reserve for losses and loss adjustment expenses for our continuing operations is displayed alongside 5th and 95th percentiles of likely ultimate net reserve outcomes. The carried reserve represents the Company's best estimate and approximates the 50th percentile. The estimates of these percentiles are a result of a reserve variability analysis which is part of our internal capital modeling efforts using a simulation approach.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Sensitivity</w:t>
            </w:r>
          </w:p>
        </w:tc>
        <w:tc>
          <w:tcPr>
            <w:tcW w:w="280" w:type="dxa"/>
            <w:vAlign w:val="bottom"/>
          </w:tcPr>
          <w:p>
            <w:pPr>
              <w:spacing w:after="0"/>
              <w:rPr>
                <w:sz w:val="16"/>
                <w:szCs w:val="16"/>
                <w:color w:val="auto"/>
              </w:rPr>
            </w:pPr>
          </w:p>
        </w:tc>
        <w:tc>
          <w:tcPr>
            <w:tcW w:w="11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5th Pct.</w:t>
            </w:r>
          </w:p>
        </w:tc>
        <w:tc>
          <w:tcPr>
            <w:tcW w:w="240" w:type="dxa"/>
            <w:vAlign w:val="bottom"/>
          </w:tcPr>
          <w:p>
            <w:pPr>
              <w:spacing w:after="0"/>
              <w:rPr>
                <w:sz w:val="16"/>
                <w:szCs w:val="16"/>
                <w:color w:val="auto"/>
              </w:rPr>
            </w:pPr>
          </w:p>
        </w:tc>
        <w:tc>
          <w:tcPr>
            <w:tcW w:w="11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Carried</w:t>
            </w:r>
          </w:p>
        </w:tc>
        <w:tc>
          <w:tcPr>
            <w:tcW w:w="340" w:type="dxa"/>
            <w:vAlign w:val="bottom"/>
          </w:tcPr>
          <w:p>
            <w:pPr>
              <w:spacing w:after="0"/>
              <w:rPr>
                <w:sz w:val="16"/>
                <w:szCs w:val="16"/>
                <w:color w:val="auto"/>
              </w:rPr>
            </w:pPr>
          </w:p>
        </w:tc>
        <w:tc>
          <w:tcPr>
            <w:tcW w:w="10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95th Pct.</w:t>
            </w:r>
          </w:p>
        </w:tc>
      </w:tr>
      <w:tr>
        <w:trPr>
          <w:trHeight w:val="25"/>
        </w:trPr>
        <w:tc>
          <w:tcPr>
            <w:tcW w:w="5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4"/>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1,034,470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1,086,278</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1,149,771</w:t>
            </w:r>
          </w:p>
        </w:tc>
      </w:tr>
      <w:tr>
        <w:trPr>
          <w:trHeight w:val="234"/>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reserves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(51,808)</w:t>
            </w:r>
          </w:p>
        </w:tc>
        <w:tc>
          <w:tcPr>
            <w:tcW w:w="2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63,493</w:t>
            </w:r>
          </w:p>
        </w:tc>
      </w:tr>
    </w:tbl>
    <w:p>
      <w:pPr>
        <w:spacing w:after="0" w:line="165" w:lineRule="exact"/>
        <w:rPr>
          <w:sz w:val="20"/>
          <w:szCs w:val="20"/>
          <w:color w:val="auto"/>
        </w:rPr>
      </w:pPr>
    </w:p>
    <w:p>
      <w:pPr>
        <w:ind w:right="120" w:firstLine="363"/>
        <w:spacing w:after="0" w:line="264" w:lineRule="auto"/>
        <w:rPr>
          <w:sz w:val="20"/>
          <w:szCs w:val="20"/>
          <w:color w:val="auto"/>
        </w:rPr>
      </w:pPr>
      <w:r>
        <w:rPr>
          <w:rFonts w:ascii="Times New Roman" w:cs="Times New Roman" w:eastAsia="Times New Roman" w:hAnsi="Times New Roman"/>
          <w:sz w:val="18"/>
          <w:szCs w:val="18"/>
          <w:color w:val="auto"/>
        </w:rPr>
        <w:t>The impact of recording the net reserve for losses and loss adjustment expenses at the highest value from the sensitivity analysis above would be to increase losses and loss adjustment expenses incurred by $63.5 million, reduce after-tax net income by $50.2 million, reduce shareholders’ equity by $50.2 million and reduce shareholders’ tangible equity by $50.2 million, in each case at or for the year ended December 31, 2024.</w:t>
      </w:r>
    </w:p>
    <w:p>
      <w:pPr>
        <w:spacing w:after="0" w:line="69" w:lineRule="exact"/>
        <w:rPr>
          <w:sz w:val="20"/>
          <w:szCs w:val="20"/>
          <w:color w:val="auto"/>
        </w:rPr>
      </w:pPr>
    </w:p>
    <w:p>
      <w:pPr>
        <w:ind w:right="20" w:firstLine="363"/>
        <w:spacing w:after="0" w:line="256" w:lineRule="auto"/>
        <w:rPr>
          <w:sz w:val="20"/>
          <w:szCs w:val="20"/>
          <w:color w:val="auto"/>
        </w:rPr>
      </w:pPr>
      <w:r>
        <w:rPr>
          <w:rFonts w:ascii="Times New Roman" w:cs="Times New Roman" w:eastAsia="Times New Roman" w:hAnsi="Times New Roman"/>
          <w:sz w:val="18"/>
          <w:szCs w:val="18"/>
          <w:color w:val="auto"/>
        </w:rPr>
        <w:t>The impact of recording the net reserve for losses and loss adjustment expenses at the lowest value from the sensitivity analysis above would be to reduce losses and loss adjustment expenses incurred by $51.8 million, increase after-tax net income by $40.9 million, increase shareholders’ equity by $40.9 million, and increase tangible equity by $40.9 million, in each case at or for the year ended December 31, 2024. Such changes in the net reserve for losses and loss adjustment expenses would not have an immediate impact on our liquidity, but would affect cash flow and investment income in future periods as the incremental or reduced amount of losses are paid and investment assets adjusted to reflect the level of paid claims.</w:t>
      </w:r>
    </w:p>
    <w:p>
      <w:pPr>
        <w:spacing w:after="0" w:line="79" w:lineRule="exact"/>
        <w:rPr>
          <w:sz w:val="20"/>
          <w:szCs w:val="20"/>
          <w:color w:val="auto"/>
        </w:rPr>
      </w:pPr>
    </w:p>
    <w:p>
      <w:pPr>
        <w:ind w:right="20" w:firstLine="363"/>
        <w:spacing w:after="0" w:line="252" w:lineRule="auto"/>
        <w:rPr>
          <w:sz w:val="20"/>
          <w:szCs w:val="20"/>
          <w:color w:val="auto"/>
        </w:rPr>
      </w:pPr>
      <w:r>
        <w:rPr>
          <w:rFonts w:ascii="Times New Roman" w:cs="Times New Roman" w:eastAsia="Times New Roman" w:hAnsi="Times New Roman"/>
          <w:sz w:val="18"/>
          <w:szCs w:val="18"/>
          <w:color w:val="auto"/>
        </w:rPr>
        <w:t>Loss reserve estimates are subject to a high degree of variability due to the inherent uncertainty of ultimate claims settlement values. In recording our best estimate of our reserve for losses and loss adjustment expenses, our Reserve Committee may select an amount that is different from the actuarial recommendation submitted after considering other qualitative factors and our knowledge and expectations of trends and other business developments that impact our best estimate. There is inherent variation associated with our reserve estimates and the possibility that there are unforeseen or incorrectly valued liabilities in the actuarial recommendations exists. We believe that the insurance that we write is subject to above-average variation in reserve estimates. The Excess and Surplus Lines market is subject to high policyholder turnover and changes in underlying mix of exposures. This turnover and change in underlying mix of exposures can cause actuarial estimates based on prior experience to be less reliable than estimates for more stable, admitted books of business. As a casualty insurer, losses on our policies often take a number of years to develop, making it difficult to estimate the ultimate losses associated with this business. Judicial and regulatory bodies have frequently interpreted insurance contracts in a manner that expands coverage beyond that which was contemplated at the time that the policy was issued. In addition, many of our policies are issued on an occurrence basis, and insureds suffering a loss frequently seek coverage beyond the policies’ original intent.</w:t>
      </w:r>
    </w:p>
    <w:p>
      <w:pPr>
        <w:spacing w:after="0" w:line="82" w:lineRule="exact"/>
        <w:rPr>
          <w:sz w:val="20"/>
          <w:szCs w:val="20"/>
          <w:color w:val="auto"/>
        </w:rPr>
      </w:pPr>
    </w:p>
    <w:p>
      <w:pPr>
        <w:ind w:firstLine="363"/>
        <w:spacing w:after="0" w:line="253" w:lineRule="auto"/>
        <w:rPr>
          <w:sz w:val="20"/>
          <w:szCs w:val="20"/>
          <w:color w:val="auto"/>
        </w:rPr>
      </w:pPr>
      <w:r>
        <w:rPr>
          <w:rFonts w:ascii="Times New Roman" w:cs="Times New Roman" w:eastAsia="Times New Roman" w:hAnsi="Times New Roman"/>
          <w:sz w:val="18"/>
          <w:szCs w:val="18"/>
          <w:color w:val="auto"/>
        </w:rPr>
        <w:t>Our reserves are driven by a number of important assumptions,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also assume that we will not experience significant losses from mass torts and that we will not incur losses from future mass torts not known to us today. While it is not possible to predict the impact of changes in the litigation environment, if new mass torts or expanded legal theories of liability emerge, our cost of claims may differ substantially from our reserves.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spacing w:after="0" w:line="79" w:lineRule="exact"/>
        <w:rPr>
          <w:sz w:val="20"/>
          <w:szCs w:val="20"/>
          <w:color w:val="auto"/>
        </w:rPr>
      </w:pPr>
    </w:p>
    <w:p>
      <w:pPr>
        <w:jc w:val="both"/>
        <w:ind w:right="60" w:firstLine="363"/>
        <w:spacing w:after="0" w:line="264" w:lineRule="auto"/>
        <w:rPr>
          <w:sz w:val="20"/>
          <w:szCs w:val="20"/>
          <w:color w:val="auto"/>
        </w:rPr>
      </w:pPr>
      <w:r>
        <w:rPr>
          <w:rFonts w:ascii="Times New Roman" w:cs="Times New Roman" w:eastAsia="Times New Roman" w:hAnsi="Times New Roman"/>
          <w:sz w:val="18"/>
          <w:szCs w:val="18"/>
          <w:color w:val="auto"/>
        </w:rPr>
        <w:t>IBNR reserve estimates are inherently less precise than case reserve estimates. A 5% change in net IBNR reserves at December 31, 2024 would equate to a $34.5 million change in the reserve for losses and loss adjustment expenses at such date, a $27.3 million change in after-tax net income, a 5.9% change in shareholders’ equity and a 6.2% change in tangible equity, in each case at or for the year ended December 31, 2024.</w:t>
      </w:r>
    </w:p>
    <w:p>
      <w:pPr>
        <w:spacing w:after="0" w:line="69" w:lineRule="exact"/>
        <w:rPr>
          <w:sz w:val="20"/>
          <w:szCs w:val="20"/>
          <w:color w:val="auto"/>
        </w:rPr>
      </w:pPr>
    </w:p>
    <w:p>
      <w:pPr>
        <w:ind w:right="80" w:firstLine="363"/>
        <w:spacing w:after="0" w:line="256" w:lineRule="auto"/>
        <w:rPr>
          <w:sz w:val="20"/>
          <w:szCs w:val="20"/>
          <w:color w:val="auto"/>
        </w:rPr>
      </w:pPr>
      <w:r>
        <w:rPr>
          <w:rFonts w:ascii="Times New Roman" w:cs="Times New Roman" w:eastAsia="Times New Roman" w:hAnsi="Times New Roman"/>
          <w:sz w:val="18"/>
          <w:szCs w:val="18"/>
          <w:color w:val="auto"/>
        </w:rPr>
        <w:t>Although we believe that our reserve estimates are reasonable, it is possible that our actual loss experience may not conform to our assumptions. Specifically, our actual ultimate loss ratio could differ from our initial expected loss ratio or our actual reporting and payment patterns could differ from our expected reporting and payment patterns, which are based on our own data and industry data. Accordingly, the ultimate settlement of losses and the related loss adjustment expenses may vary significantly from the estimates included in our financial statements. We regularly review our estimates and adjust them as necessary as experience develops or as new information becomes known to us. Such adjustments are included in current operations.</w:t>
      </w:r>
    </w:p>
    <w:p>
      <w:pPr>
        <w:spacing w:after="0" w:line="79" w:lineRule="exact"/>
        <w:rPr>
          <w:sz w:val="20"/>
          <w:szCs w:val="20"/>
          <w:color w:val="auto"/>
        </w:rPr>
      </w:pPr>
    </w:p>
    <w:p>
      <w:pPr>
        <w:ind w:right="200" w:firstLine="363"/>
        <w:spacing w:after="0" w:line="256" w:lineRule="auto"/>
        <w:rPr>
          <w:sz w:val="20"/>
          <w:szCs w:val="20"/>
          <w:color w:val="auto"/>
        </w:rPr>
      </w:pPr>
      <w:r>
        <w:rPr>
          <w:rFonts w:ascii="Times New Roman" w:cs="Times New Roman" w:eastAsia="Times New Roman" w:hAnsi="Times New Roman"/>
          <w:sz w:val="18"/>
          <w:szCs w:val="18"/>
          <w:color w:val="auto"/>
        </w:rPr>
        <w:t>In determining the amount of prior accident year development to recognize each year, we consider actual loss emergence (reported and paid) versus expected loss emergence, as well as our internal actuaries’ indications and the prior year development indicated in the actuarial analysis prepared by our independent third-party actuary. We look at these different data points with the goal of disclosing prior accident year development that is representative of loss emergence on prior accident years during the year, while also recording the Company’s best estimate of the aggregate reserve for losses and loss adjustment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color w:val="auto"/>
        </w:rPr>
        <w:t>expenses on the Company’s Consolidated Balance Sheet. At a high level, actual loss emergence on prior accident years in excess of actuarial expectations implies adverse development, while actual loss emergence less than expected emergence implies favorable development.</w:t>
      </w:r>
    </w:p>
    <w:p>
      <w:pPr>
        <w:spacing w:after="0" w:line="55" w:lineRule="exact"/>
        <w:rPr>
          <w:sz w:val="20"/>
          <w:szCs w:val="20"/>
          <w:color w:val="auto"/>
        </w:rPr>
      </w:pPr>
    </w:p>
    <w:p>
      <w:pPr>
        <w:ind w:right="40" w:firstLine="363"/>
        <w:spacing w:after="0" w:line="259" w:lineRule="auto"/>
        <w:rPr>
          <w:sz w:val="20"/>
          <w:szCs w:val="20"/>
          <w:color w:val="auto"/>
        </w:rPr>
      </w:pPr>
      <w:r>
        <w:rPr>
          <w:rFonts w:ascii="Times New Roman" w:cs="Times New Roman" w:eastAsia="Times New Roman" w:hAnsi="Times New Roman"/>
          <w:sz w:val="18"/>
          <w:szCs w:val="18"/>
          <w:color w:val="auto"/>
        </w:rPr>
        <w:t>We experienced $76.1 million of net adverse development in 2024 on the reserve for losses and loss adjustment expenses held at December 31, 2023 (excluding adverse prior year development subject to retroactive reinsurance accounting - see “</w:t>
      </w:r>
      <w:r>
        <w:rPr>
          <w:rFonts w:ascii="Times New Roman" w:cs="Times New Roman" w:eastAsia="Times New Roman" w:hAnsi="Times New Roman"/>
          <w:sz w:val="18"/>
          <w:szCs w:val="18"/>
          <w:i w:val="1"/>
          <w:iCs w:val="1"/>
          <w:color w:val="auto"/>
        </w:rPr>
        <w:t>Retroactive Reinsurance Accounting</w:t>
      </w:r>
      <w:r>
        <w:rPr>
          <w:rFonts w:ascii="Times New Roman" w:cs="Times New Roman" w:eastAsia="Times New Roman" w:hAnsi="Times New Roman"/>
          <w:sz w:val="18"/>
          <w:szCs w:val="18"/>
          <w:color w:val="auto"/>
        </w:rPr>
        <w:t>” below). This reserve development included $76.7 million of net adverse development in the Excess and Surplus Lines segment and $607,000 of net favorable development in the Specialty Admitted Insurance segment.</w:t>
      </w:r>
    </w:p>
    <w:p>
      <w:pPr>
        <w:spacing w:after="0" w:line="74" w:lineRule="exact"/>
        <w:rPr>
          <w:sz w:val="20"/>
          <w:szCs w:val="20"/>
          <w:color w:val="auto"/>
        </w:rPr>
      </w:pPr>
    </w:p>
    <w:p>
      <w:pPr>
        <w:ind w:right="40" w:firstLine="363"/>
        <w:spacing w:after="0" w:line="259" w:lineRule="auto"/>
        <w:rPr>
          <w:sz w:val="20"/>
          <w:szCs w:val="20"/>
          <w:color w:val="auto"/>
        </w:rPr>
      </w:pPr>
      <w:r>
        <w:rPr>
          <w:rFonts w:ascii="Times New Roman" w:cs="Times New Roman" w:eastAsia="Times New Roman" w:hAnsi="Times New Roman"/>
          <w:sz w:val="18"/>
          <w:szCs w:val="18"/>
          <w:color w:val="auto"/>
        </w:rPr>
        <w:t>We experienced $31.6 million of net adverse development in 2023 on the reserve for losses and loss adjustment expenses held at December 31, 2022 (excluding adverse prior year development subject to retroactive reinsurance accounting - see “</w:t>
      </w:r>
      <w:r>
        <w:rPr>
          <w:rFonts w:ascii="Times New Roman" w:cs="Times New Roman" w:eastAsia="Times New Roman" w:hAnsi="Times New Roman"/>
          <w:sz w:val="18"/>
          <w:szCs w:val="18"/>
          <w:i w:val="1"/>
          <w:iCs w:val="1"/>
          <w:color w:val="auto"/>
        </w:rPr>
        <w:t>Retroactive Reinsurance Accounting</w:t>
      </w:r>
      <w:r>
        <w:rPr>
          <w:rFonts w:ascii="Times New Roman" w:cs="Times New Roman" w:eastAsia="Times New Roman" w:hAnsi="Times New Roman"/>
          <w:sz w:val="18"/>
          <w:szCs w:val="18"/>
          <w:color w:val="auto"/>
        </w:rPr>
        <w:t>” below). This reserve development included $32.6 million of net adverse development in the Excess and Surplus Lines segment and $972,000 of net favorable development in the Specialty Admitted Insurance segment.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 and Impairment</w:t>
      </w:r>
    </w:p>
    <w:p>
      <w:pPr>
        <w:spacing w:after="0" w:line="119" w:lineRule="exact"/>
        <w:rPr>
          <w:sz w:val="20"/>
          <w:szCs w:val="20"/>
          <w:color w:val="auto"/>
        </w:rPr>
      </w:pPr>
    </w:p>
    <w:p>
      <w:pPr>
        <w:ind w:right="60" w:firstLine="363"/>
        <w:spacing w:after="0" w:line="256" w:lineRule="auto"/>
        <w:rPr>
          <w:sz w:val="20"/>
          <w:szCs w:val="20"/>
          <w:color w:val="auto"/>
        </w:rPr>
      </w:pPr>
      <w:r>
        <w:rPr>
          <w:rFonts w:ascii="Times New Roman" w:cs="Times New Roman" w:eastAsia="Times New Roman" w:hAnsi="Times New Roman"/>
          <w:sz w:val="18"/>
          <w:szCs w:val="18"/>
          <w:color w:val="auto"/>
        </w:rPr>
        <w:t>We carry fixed maturity securities classified as “available-for-sale” at fair value, and unrealized gains and losses on such securities, net of any deferred taxes, are reported as a separate component of accumulated other comprehensive income (loss). Equity securities (except those accounted for under the equity method of accounting or those that result in consolidation of the investee) are measured at fair value with changes in fair value recognized in net income. Certain restricted cash equivalents invested in funds with floating net asset values are measured at fair value with changes in fair value recognized in net income. At December 31, 2024, we do not have any securities classified as “held-to-maturity” or “trading.”</w:t>
      </w:r>
    </w:p>
    <w:p>
      <w:pPr>
        <w:spacing w:after="0" w:line="79" w:lineRule="exact"/>
        <w:rPr>
          <w:sz w:val="20"/>
          <w:szCs w:val="20"/>
          <w:color w:val="auto"/>
        </w:rPr>
      </w:pPr>
    </w:p>
    <w:p>
      <w:pPr>
        <w:jc w:val="both"/>
        <w:ind w:right="80" w:firstLine="363"/>
        <w:spacing w:after="0" w:line="259" w:lineRule="auto"/>
        <w:rPr>
          <w:sz w:val="20"/>
          <w:szCs w:val="20"/>
          <w:color w:val="auto"/>
        </w:rPr>
      </w:pPr>
      <w:r>
        <w:rPr>
          <w:rFonts w:ascii="Times New Roman" w:cs="Times New Roman" w:eastAsia="Times New Roman" w:hAnsi="Times New Roman"/>
          <w:sz w:val="18"/>
          <w:szCs w:val="18"/>
          <w:color w:val="auto"/>
        </w:rPr>
        <w:t>The Company periodically reviews its available-for-sale fixed maturities to determine whether any unrealized losses exist that are due to credit-related factors. An allowance for credit losses is established for any credit-related impairments, limited to the amount by which fair value is below amortized cost. Changes in the allowance for credit losses are recognized in earnings and included in net realized and unrealized gains (losses) on investments. Unrealized losses that are not credit-related continue to be recognized in other comprehensive income.</w:t>
      </w:r>
    </w:p>
    <w:p>
      <w:pPr>
        <w:spacing w:after="0" w:line="74" w:lineRule="exact"/>
        <w:rPr>
          <w:sz w:val="20"/>
          <w:szCs w:val="20"/>
          <w:color w:val="auto"/>
        </w:rPr>
      </w:pPr>
    </w:p>
    <w:p>
      <w:pPr>
        <w:ind w:firstLine="363"/>
        <w:spacing w:after="0" w:line="252" w:lineRule="auto"/>
        <w:rPr>
          <w:sz w:val="20"/>
          <w:szCs w:val="20"/>
          <w:color w:val="auto"/>
        </w:rPr>
      </w:pPr>
      <w:r>
        <w:rPr>
          <w:rFonts w:ascii="Times New Roman" w:cs="Times New Roman" w:eastAsia="Times New Roman" w:hAnsi="Times New Roman"/>
          <w:sz w:val="18"/>
          <w:szCs w:val="18"/>
          <w:color w:val="auto"/>
        </w:rPr>
        <w:t>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December 31, 2024, 2023, or 2022. During the year ended December 31, 2024, management recognized an impairment loss of $207,000 for one fixed maturity security due to the Company's inability to hold the security until a recovery in its value to the amortized cost basis. For the remainder of securities in an unrealized loss position, management does not intend to sell the securities and it is not "more likely than not" that the Company will be required to sell these securities before a recovery in their value to their amortized cost basis occurs.</w:t>
      </w:r>
    </w:p>
    <w:p>
      <w:pPr>
        <w:spacing w:after="0" w:line="84" w:lineRule="exact"/>
        <w:rPr>
          <w:sz w:val="20"/>
          <w:szCs w:val="20"/>
          <w:color w:val="auto"/>
        </w:rPr>
      </w:pPr>
    </w:p>
    <w:p>
      <w:pPr>
        <w:ind w:right="40" w:firstLine="363"/>
        <w:spacing w:after="0" w:line="254"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to account for bank loan participations. Under the fair value option, bank loan participations are measured at fair value, and changes in unrealized gains and losses in bank loan participations are reported in our Consolidated Statements of (Loss) Income and Comprehensive Loss as net realized and unrealized gains (losses) on investments. </w:t>
      </w:r>
      <w:r>
        <w:rPr>
          <w:rFonts w:ascii="Times New Roman" w:cs="Times New Roman" w:eastAsia="Times New Roman" w:hAnsi="Times New Roman"/>
          <w:sz w:val="18"/>
          <w:szCs w:val="18"/>
          <w:color w:val="231F20"/>
        </w:rPr>
        <w:t>Losses due to credit-related impairments on bank loan participations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determined based upon consultations and advice from the Company's specialized investment manager and consideration of any adverse situations that could affect the borrower's ability to repay, the estimated value of underlying collateral, and other relevant factors. </w:t>
      </w:r>
      <w:r>
        <w:rPr>
          <w:rFonts w:ascii="Times New Roman" w:cs="Times New Roman" w:eastAsia="Times New Roman" w:hAnsi="Times New Roman"/>
          <w:sz w:val="18"/>
          <w:szCs w:val="18"/>
          <w:color w:val="000000"/>
        </w:rPr>
        <w:t>For the years ended December 31, 2024, 2023,</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2022, management concluded that $3.3 million, $397,000, and $574,000 of the net realized and unrealized gains (losses) were due to credit-related impairments, respectively.</w:t>
      </w:r>
    </w:p>
    <w:p>
      <w:pPr>
        <w:spacing w:after="0" w:line="77" w:lineRule="exact"/>
        <w:rPr>
          <w:sz w:val="20"/>
          <w:szCs w:val="20"/>
          <w:color w:val="auto"/>
        </w:rPr>
      </w:pPr>
    </w:p>
    <w:p>
      <w:pPr>
        <w:ind w:right="20" w:firstLine="363"/>
        <w:spacing w:after="0" w:line="257" w:lineRule="auto"/>
        <w:rPr>
          <w:sz w:val="20"/>
          <w:szCs w:val="20"/>
          <w:color w:val="auto"/>
        </w:rPr>
      </w:pPr>
      <w:r>
        <w:rPr>
          <w:rFonts w:ascii="Times New Roman" w:cs="Times New Roman" w:eastAsia="Times New Roman" w:hAnsi="Times New Roman"/>
          <w:sz w:val="18"/>
          <w:szCs w:val="18"/>
          <w:color w:val="auto"/>
        </w:rPr>
        <w:t xml:space="preserve">Fair values are measured in accordance with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The guidance establishes a framework for measuring fair value and a three-level hierarchy based upon the quality of inputs used to measure fair value. The three levels of the fair value hierarchy are: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76" w:lineRule="exact"/>
        <w:rPr>
          <w:sz w:val="20"/>
          <w:szCs w:val="20"/>
          <w:color w:val="auto"/>
        </w:rPr>
      </w:pPr>
    </w:p>
    <w:p>
      <w:pPr>
        <w:ind w:right="200" w:firstLine="363"/>
        <w:spacing w:after="0" w:line="264" w:lineRule="auto"/>
        <w:rPr>
          <w:sz w:val="20"/>
          <w:szCs w:val="20"/>
          <w:color w:val="auto"/>
        </w:rPr>
      </w:pPr>
      <w:r>
        <w:rPr>
          <w:rFonts w:ascii="Times New Roman" w:cs="Times New Roman" w:eastAsia="Times New Roman" w:hAnsi="Times New Roman"/>
          <w:sz w:val="18"/>
          <w:szCs w:val="18"/>
          <w:color w:val="auto"/>
        </w:rPr>
        <w:t>The fair values of fixed maturity securities and equity securities have been determined using fair value prices provided by our investment accounting services provider or investment managers, who utilize internationally recognized independent pricing services. The prices provided by the independent pricing services are generally based on observable market data in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active markets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generally incorporate significant Level 2 inputs, and in some cases, Level 3 inputs, using the market approach and income approach valuation techniques.</w:t>
      </w:r>
    </w:p>
    <w:p>
      <w:pPr>
        <w:spacing w:after="0" w:line="73" w:lineRule="exact"/>
        <w:rPr>
          <w:sz w:val="20"/>
          <w:szCs w:val="20"/>
          <w:color w:val="auto"/>
        </w:rPr>
      </w:pPr>
    </w:p>
    <w:p>
      <w:pPr>
        <w:ind w:right="240" w:firstLine="363"/>
        <w:spacing w:after="0" w:line="280" w:lineRule="auto"/>
        <w:rPr>
          <w:sz w:val="20"/>
          <w:szCs w:val="20"/>
          <w:color w:val="auto"/>
        </w:rPr>
      </w:pPr>
      <w:r>
        <w:rPr>
          <w:rFonts w:ascii="Times New Roman" w:cs="Times New Roman" w:eastAsia="Times New Roman" w:hAnsi="Times New Roman"/>
          <w:sz w:val="18"/>
          <w:szCs w:val="18"/>
          <w:color w:val="auto"/>
        </w:rPr>
        <w:t>The fair values of cash and cash equivalents, restricted cash equivalents (excluding those invested in funds with floating net asset values), and short-term investments approximate their carrying values due to their short-term maturity.</w:t>
      </w:r>
    </w:p>
    <w:p>
      <w:pPr>
        <w:spacing w:after="0" w:line="55" w:lineRule="exact"/>
        <w:rPr>
          <w:sz w:val="20"/>
          <w:szCs w:val="20"/>
          <w:color w:val="auto"/>
        </w:rPr>
      </w:pPr>
    </w:p>
    <w:p>
      <w:pPr>
        <w:ind w:right="40" w:firstLine="363"/>
        <w:spacing w:after="0" w:line="255" w:lineRule="auto"/>
        <w:rPr>
          <w:sz w:val="20"/>
          <w:szCs w:val="20"/>
          <w:color w:val="auto"/>
        </w:rPr>
      </w:pPr>
      <w:r>
        <w:rPr>
          <w:rFonts w:ascii="Times New Roman" w:cs="Times New Roman" w:eastAsia="Times New Roman" w:hAnsi="Times New Roman"/>
          <w:sz w:val="18"/>
          <w:szCs w:val="18"/>
          <w:color w:val="auto"/>
        </w:rPr>
        <w:t>In the determination of the fair value for bank loan participations and certain high yield bonds, the Company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Company determines that only one external pricing source is appropriate or if only one external price is available, the investment is generally recorded based on such price.</w:t>
      </w:r>
    </w:p>
    <w:p>
      <w:pPr>
        <w:spacing w:after="0" w:line="78" w:lineRule="exact"/>
        <w:rPr>
          <w:sz w:val="20"/>
          <w:szCs w:val="20"/>
          <w:color w:val="auto"/>
        </w:rPr>
      </w:pPr>
    </w:p>
    <w:p>
      <w:pPr>
        <w:ind w:right="20" w:firstLine="363"/>
        <w:spacing w:after="0" w:line="255" w:lineRule="auto"/>
        <w:rPr>
          <w:sz w:val="20"/>
          <w:szCs w:val="20"/>
          <w:color w:val="auto"/>
        </w:rPr>
      </w:pPr>
      <w:r>
        <w:rPr>
          <w:rFonts w:ascii="Times New Roman" w:cs="Times New Roman" w:eastAsia="Times New Roman" w:hAnsi="Times New Roman"/>
          <w:sz w:val="18"/>
          <w:szCs w:val="18"/>
          <w:color w:val="auto"/>
        </w:rPr>
        <w:t>Investments for which external sources are not available or are determined by an investment manager not to be representative of fair value are recorded at fair value as determined by the investment manager. In determining the fair value of such investments, the investment manager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There were no bank loan participations for which external sources were unavailable to determine fair value at December 31, 2024 or 2023.</w:t>
      </w:r>
    </w:p>
    <w:p>
      <w:pPr>
        <w:spacing w:after="0" w:line="78" w:lineRule="exact"/>
        <w:rPr>
          <w:sz w:val="20"/>
          <w:szCs w:val="20"/>
          <w:color w:val="auto"/>
        </w:rPr>
      </w:pPr>
    </w:p>
    <w:p>
      <w:pPr>
        <w:ind w:firstLine="363"/>
        <w:spacing w:after="0" w:line="254" w:lineRule="auto"/>
        <w:rPr>
          <w:sz w:val="20"/>
          <w:szCs w:val="20"/>
          <w:color w:val="auto"/>
        </w:rPr>
      </w:pPr>
      <w:r>
        <w:rPr>
          <w:rFonts w:ascii="Times New Roman" w:cs="Times New Roman" w:eastAsia="Times New Roman" w:hAnsi="Times New Roman"/>
          <w:sz w:val="18"/>
          <w:szCs w:val="18"/>
          <w:color w:val="auto"/>
        </w:rPr>
        <w:t>We review fair value prices provided by our outside investment accounting service provider or our investment managers for reasonableness by comparing the fair values provided to those provided by our investment custodian. We conduct corroborative price testing comparing prices utilized for each security to those from an alternate reputable pricing service. We also review and monitor changes in fair values and unrealized gains and losses. We obtain an understanding of the methods, models, and inputs used by our investment managers and independent pricing services, and controls are in place to validate that prices provided represent fair values. Our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accounting services provider and investment managers that obtain fair values from independent pricing services.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Adopted Accounting Standards</w:t>
      </w:r>
    </w:p>
    <w:p>
      <w:pPr>
        <w:spacing w:after="0" w:line="117" w:lineRule="exact"/>
        <w:rPr>
          <w:sz w:val="20"/>
          <w:szCs w:val="20"/>
          <w:color w:val="auto"/>
        </w:rPr>
      </w:pPr>
    </w:p>
    <w:p>
      <w:pPr>
        <w:jc w:val="both"/>
        <w:ind w:firstLine="363"/>
        <w:spacing w:after="0" w:line="257" w:lineRule="auto"/>
        <w:rPr>
          <w:sz w:val="20"/>
          <w:szCs w:val="20"/>
          <w:color w:val="auto"/>
        </w:rPr>
      </w:pPr>
      <w:r>
        <w:rPr>
          <w:rFonts w:ascii="Times New Roman" w:cs="Times New Roman" w:eastAsia="Times New Roman" w:hAnsi="Times New Roman"/>
          <w:sz w:val="18"/>
          <w:szCs w:val="18"/>
          <w:color w:val="auto"/>
        </w:rPr>
        <w:t>The guidance in ASU 2023-07</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was designed to improve reportable segment disclosure requirements, primarily through enhanced disclosures about significant segment expenses. This ASU is effective for fiscal years beginning after December 15, 2023, and interim periods within fiscal years beginning after December 15, 2024. The Company adopted the new standard effective with this Form 10-K by providing additional segment disclosures in Note 20. The new standard did not have a material impact on the Company's financial statements.</w:t>
      </w:r>
    </w:p>
    <w:p>
      <w:pPr>
        <w:spacing w:after="0" w:line="76" w:lineRule="exact"/>
        <w:rPr>
          <w:sz w:val="20"/>
          <w:szCs w:val="20"/>
          <w:color w:val="auto"/>
        </w:rPr>
      </w:pPr>
    </w:p>
    <w:p>
      <w:pPr>
        <w:ind w:right="1120" w:firstLine="363"/>
        <w:spacing w:after="0" w:line="372" w:lineRule="auto"/>
        <w:rPr>
          <w:sz w:val="20"/>
          <w:szCs w:val="20"/>
          <w:color w:val="auto"/>
        </w:rPr>
      </w:pPr>
      <w:r>
        <w:rPr>
          <w:rFonts w:ascii="Times New Roman" w:cs="Times New Roman" w:eastAsia="Times New Roman" w:hAnsi="Times New Roman"/>
          <w:sz w:val="18"/>
          <w:szCs w:val="18"/>
          <w:color w:val="auto"/>
        </w:rPr>
        <w:t xml:space="preserve">No accounting standards were adopted during the year ended December 31, 2024 that had a material impact on our financial statements. </w:t>
      </w:r>
      <w:r>
        <w:rPr>
          <w:rFonts w:ascii="Times New Roman" w:cs="Times New Roman" w:eastAsia="Times New Roman" w:hAnsi="Times New Roman"/>
          <w:sz w:val="18"/>
          <w:szCs w:val="18"/>
          <w:b w:val="1"/>
          <w:bCs w:val="1"/>
          <w:color w:val="auto"/>
        </w:rPr>
        <w:t>Prospective Accounting Standards</w:t>
      </w:r>
    </w:p>
    <w:p>
      <w:pPr>
        <w:spacing w:after="0" w:line="1" w:lineRule="exact"/>
        <w:rPr>
          <w:sz w:val="20"/>
          <w:szCs w:val="20"/>
          <w:color w:val="auto"/>
        </w:rPr>
      </w:pPr>
    </w:p>
    <w:p>
      <w:pPr>
        <w:ind w:right="60" w:firstLine="363"/>
        <w:spacing w:after="0" w:line="260" w:lineRule="auto"/>
        <w:rPr>
          <w:sz w:val="20"/>
          <w:szCs w:val="20"/>
          <w:color w:val="auto"/>
        </w:rPr>
      </w:pPr>
      <w:r>
        <w:rPr>
          <w:rFonts w:ascii="Times New Roman" w:cs="Times New Roman" w:eastAsia="Times New Roman" w:hAnsi="Times New Roman"/>
          <w:sz w:val="18"/>
          <w:szCs w:val="18"/>
          <w:color w:val="auto"/>
        </w:rPr>
        <w:t>The guidance in ASU 2023-09</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was designed to increase transparency about income tax information through improvements to the rate reconciliation and disclosure of income taxes paid. This ASU is effective for fiscal years beginning after December 15, 2024. Although the Company continues to evaluate the impact of adopting this new accounting standard, the amendments are disclosure-related and are not expected to have a material impact on the Company's financial statements.</w:t>
      </w:r>
    </w:p>
    <w:p>
      <w:pPr>
        <w:spacing w:after="0" w:line="71" w:lineRule="exact"/>
        <w:rPr>
          <w:sz w:val="20"/>
          <w:szCs w:val="20"/>
          <w:color w:val="auto"/>
        </w:rPr>
      </w:pPr>
    </w:p>
    <w:p>
      <w:pPr>
        <w:ind w:right="100" w:firstLine="363"/>
        <w:spacing w:after="0" w:line="260" w:lineRule="auto"/>
        <w:rPr>
          <w:sz w:val="20"/>
          <w:szCs w:val="20"/>
          <w:color w:val="auto"/>
        </w:rPr>
      </w:pPr>
      <w:r>
        <w:rPr>
          <w:rFonts w:ascii="Times New Roman" w:cs="Times New Roman" w:eastAsia="Times New Roman" w:hAnsi="Times New Roman"/>
          <w:sz w:val="18"/>
          <w:szCs w:val="18"/>
          <w:color w:val="auto"/>
        </w:rPr>
        <w:t>The guidance in ASU 2024-03</w:t>
      </w:r>
      <w:r>
        <w:rPr>
          <w:rFonts w:ascii="Times New Roman" w:cs="Times New Roman" w:eastAsia="Times New Roman" w:hAnsi="Times New Roman"/>
          <w:sz w:val="18"/>
          <w:szCs w:val="18"/>
          <w:i w:val="1"/>
          <w:iCs w:val="1"/>
          <w:color w:val="auto"/>
        </w:rPr>
        <w:t>, Income Statement - Reporting Comprehensive Income - Expense Disaggregation Disclosures (Subtopic 220-40):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of Income Statement Expenses </w:t>
      </w:r>
      <w:r>
        <w:rPr>
          <w:rFonts w:ascii="Times New Roman" w:cs="Times New Roman" w:eastAsia="Times New Roman" w:hAnsi="Times New Roman"/>
          <w:sz w:val="18"/>
          <w:szCs w:val="18"/>
          <w:color w:val="auto"/>
        </w:rPr>
        <w:t>requires additional, disaggregated disclosure around certain income statement expense line items. This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effective for fiscal years beginning after December 15, 2026 and interim periods beginning after December 15, 2027, although early adoption is permitted. The Company is in the process of evaluating the impact of this new guidance on the disclosures in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20" w:firstLine="363"/>
        <w:spacing w:after="0" w:line="280" w:lineRule="auto"/>
        <w:rPr>
          <w:sz w:val="20"/>
          <w:szCs w:val="20"/>
          <w:color w:val="auto"/>
        </w:rPr>
      </w:pPr>
      <w:r>
        <w:rPr>
          <w:rFonts w:ascii="Times New Roman" w:cs="Times New Roman" w:eastAsia="Times New Roman" w:hAnsi="Times New Roman"/>
          <w:sz w:val="18"/>
          <w:szCs w:val="18"/>
          <w:color w:val="auto"/>
        </w:rPr>
        <w:t>There are no other prospective accounting standards which are expected to have a material impact on our financial statements subsequent to December 31,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Strategic Actions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James River Group Holdings, Ltd.</w:t>
      </w:r>
    </w:p>
    <w:p>
      <w:pPr>
        <w:spacing w:after="0" w:line="119" w:lineRule="exact"/>
        <w:rPr>
          <w:sz w:val="20"/>
          <w:szCs w:val="20"/>
          <w:color w:val="auto"/>
        </w:rPr>
      </w:pPr>
    </w:p>
    <w:p>
      <w:pPr>
        <w:ind w:right="20" w:firstLine="323"/>
        <w:spacing w:after="0" w:line="264" w:lineRule="auto"/>
        <w:rPr>
          <w:sz w:val="20"/>
          <w:szCs w:val="20"/>
          <w:color w:val="auto"/>
        </w:rPr>
      </w:pPr>
      <w:r>
        <w:rPr>
          <w:rFonts w:ascii="Times New Roman" w:cs="Times New Roman" w:eastAsia="Times New Roman" w:hAnsi="Times New Roman"/>
          <w:sz w:val="18"/>
          <w:szCs w:val="18"/>
          <w:color w:val="auto"/>
        </w:rPr>
        <w:t>In the fourth quarter of 2024, the Board of Directors concluded the strategic review process announced in November of 2023. While the strategic review process has been completed, in the ordinary course of business the Company and Board of Directors expect to consider opportunities consistent with its fiduciary duty.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Loss Portfolio Transfer and Adverse Development Cover</w:t>
      </w:r>
    </w:p>
    <w:p>
      <w:pPr>
        <w:spacing w:after="0" w:line="119" w:lineRule="exact"/>
        <w:rPr>
          <w:sz w:val="20"/>
          <w:szCs w:val="20"/>
          <w:color w:val="auto"/>
        </w:rPr>
      </w:pPr>
    </w:p>
    <w:p>
      <w:pPr>
        <w:jc w:val="both"/>
        <w:ind w:right="380" w:firstLine="323"/>
        <w:spacing w:after="0" w:line="264" w:lineRule="auto"/>
        <w:rPr>
          <w:sz w:val="20"/>
          <w:szCs w:val="20"/>
          <w:color w:val="auto"/>
        </w:rPr>
      </w:pPr>
      <w:r>
        <w:rPr>
          <w:rFonts w:ascii="Times New Roman" w:cs="Times New Roman" w:eastAsia="Times New Roman" w:hAnsi="Times New Roman"/>
          <w:sz w:val="18"/>
          <w:szCs w:val="18"/>
          <w:color w:val="auto"/>
        </w:rPr>
        <w:t>On July 2, 2024, James River Insurance and James River Casualty (together, “James River”), entered into a Combined Loss Portfolio Transfer and Adverse Development Cover Reinsurance Contract (the “E&amp;S ADC”) with State National Insurance Company, Inc. (“State National”). The transaction closed upon signing.</w:t>
      </w:r>
    </w:p>
    <w:p>
      <w:pPr>
        <w:spacing w:after="0" w:line="69" w:lineRule="exact"/>
        <w:rPr>
          <w:sz w:val="20"/>
          <w:szCs w:val="20"/>
          <w:color w:val="auto"/>
        </w:rPr>
      </w:pPr>
    </w:p>
    <w:p>
      <w:pPr>
        <w:ind w:right="20" w:firstLine="323"/>
        <w:spacing w:after="0" w:line="253" w:lineRule="auto"/>
        <w:rPr>
          <w:sz w:val="20"/>
          <w:szCs w:val="20"/>
          <w:color w:val="auto"/>
        </w:rPr>
      </w:pPr>
      <w:r>
        <w:rPr>
          <w:rFonts w:ascii="Times New Roman" w:cs="Times New Roman" w:eastAsia="Times New Roman" w:hAnsi="Times New Roman"/>
          <w:sz w:val="18"/>
          <w:szCs w:val="18"/>
          <w:color w:val="auto"/>
        </w:rPr>
        <w:t>The E&amp;S ADC was effective January 1, 2024 (the “Effective Date”) and applies to James River’s Excess &amp; Surplus Lines segment casualty portfolio losses attaching to premium earned during 2010-2023 (both years inclusive), excluding, among others, losses related to commercial auto policies issued to a former large insured or its affiliates (the “Subject Business”). Pursuant to the E&amp;S ADC, (a) State National reinsures 85% of losses paid on and after the Effective Date in respect of the Subject Business in excess of $716.6 million up to an aggregate limit of $467.1 million (with State National’s share of the aggregate limit being $397.0 million) in exchange for a reinsurance premium paid by James River equal to $313.2 million, (b) James River continues to manage claims and to manage and collect the benefit of other existing third-party reinsurance on the Subject Business, which third-party reinsurance inures to the benefit of the E&amp;S ADC, and (c) James River is entitled to a profit commission of 50% of any favorable development on the business ceded to State National below 104.5% of carried reserves, which profit commission shall not exceed $87.0 million in total. The Company has $41.2 million of aggregate limit remaining on the E&amp;S ADC at December 31,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Enstar Strategic Partnership</w:t>
      </w:r>
    </w:p>
    <w:p>
      <w:pPr>
        <w:spacing w:after="0" w:line="119" w:lineRule="exact"/>
        <w:rPr>
          <w:sz w:val="20"/>
          <w:szCs w:val="20"/>
          <w:color w:val="auto"/>
        </w:rPr>
      </w:pPr>
    </w:p>
    <w:p>
      <w:pPr>
        <w:ind w:firstLine="323"/>
        <w:spacing w:after="0" w:line="251" w:lineRule="auto"/>
        <w:rPr>
          <w:sz w:val="20"/>
          <w:szCs w:val="20"/>
          <w:color w:val="auto"/>
        </w:rPr>
      </w:pPr>
      <w:r>
        <w:rPr>
          <w:rFonts w:ascii="Times New Roman" w:cs="Times New Roman" w:eastAsia="Times New Roman" w:hAnsi="Times New Roman"/>
          <w:sz w:val="18"/>
          <w:szCs w:val="18"/>
          <w:color w:val="auto"/>
        </w:rPr>
        <w:t>The Company commenced a multi-pronged strategic partnership with Enstar Group Limited (“Enstar”). As part of this, on November 11, 2024, Enstar, through its subsidiary Cavello Bay Reinsurance Limited (“Cavello Bay”), entered into (i) a subscription agreement to purchase $12.5 million of the Company’s common shares at a share price of $6.40, which shares are in addition to 637,640 shares Enstar previously purchased in the open market, and (ii) an adverse development cover agreement with James River (“E&amp;S Top Up ADC”), such transactions together, the “Enstar Transactions”. Pursuant to the E&amp;S Top Up ADC, in exchange for a premium of $52.8 million (less an amount equal to the federal excise tax payable on the premium), Cavello Bay reinsures, effective January 1, 2024, 100% of the losses associated with James River’s Excess &amp; Surplus Lines segment casualty portfolio losses attaching to premium earned during 2010-2023 (both years inclusive). This agreement excludes losses related to commercial auto policies issued to a former large insured or its affiliates. It is subject to a retention by James River of $1,183.7 million (the limit of the E&amp;S ADC) and up to an aggregate limit of</w:t>
      </w:r>
    </w:p>
    <w:p>
      <w:pPr>
        <w:spacing w:after="0" w:line="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$75.0 million. The Enstar Transactions closed on December 23, 2024. The Company recognized a $52.8 million reduction in pre-tax income in connection with the E&amp;S Top Up ADC upon closing.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Share Amendment</w:t>
      </w:r>
    </w:p>
    <w:p>
      <w:pPr>
        <w:spacing w:after="0" w:line="119" w:lineRule="exact"/>
        <w:rPr>
          <w:sz w:val="20"/>
          <w:szCs w:val="20"/>
          <w:color w:val="auto"/>
        </w:rPr>
      </w:pPr>
    </w:p>
    <w:p>
      <w:pPr>
        <w:ind w:right="20" w:firstLine="323"/>
        <w:spacing w:after="0" w:line="254" w:lineRule="auto"/>
        <w:rPr>
          <w:sz w:val="20"/>
          <w:szCs w:val="20"/>
          <w:color w:val="auto"/>
        </w:rPr>
      </w:pPr>
      <w:r>
        <w:rPr>
          <w:rFonts w:ascii="Times New Roman" w:cs="Times New Roman" w:eastAsia="Times New Roman" w:hAnsi="Times New Roman"/>
          <w:sz w:val="18"/>
          <w:szCs w:val="18"/>
          <w:color w:val="auto"/>
        </w:rPr>
        <w:t>On November 11, 2024, the Company amended the Certificate of Designations held by GPC Partners to, among other things, (i) convert $37.5 million of the outstanding Series A Preferred Shares to common stock at a per share price of $6.40 (the “Minimum Price”), (ii) increase the voluntary conversion price from 127.5% to 130% of the Minimum Price, (iii) increase the mandatory conversion price from 130% to 200% of the voluntary conversion price, (iv) delay the first date on which the dividend rate re-sets from March 1, 2027 to October 1, 2029, (v) cap the dividend rate at 8%, (vi) eliminate the adverse development anti-dilution adjustment provision, and (vii) limit transfers of the Series A Preferred Shares without the Company’s consent if, after the transfer, the transferee would hold 9.9% or more of the voting equity of the Company or, in the event of an A.M. Best downgrade of James River Insurance below A- (Excellent), 19.9% of the voting equity.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JRG Re</w:t>
      </w:r>
    </w:p>
    <w:p>
      <w:pPr>
        <w:spacing w:after="0" w:line="119" w:lineRule="exact"/>
        <w:rPr>
          <w:sz w:val="20"/>
          <w:szCs w:val="20"/>
          <w:color w:val="auto"/>
        </w:rPr>
      </w:pPr>
    </w:p>
    <w:p>
      <w:pPr>
        <w:ind w:right="60" w:firstLine="323"/>
        <w:spacing w:after="0" w:line="256" w:lineRule="auto"/>
        <w:rPr>
          <w:sz w:val="20"/>
          <w:szCs w:val="20"/>
          <w:color w:val="auto"/>
        </w:rPr>
      </w:pPr>
      <w:r>
        <w:rPr>
          <w:rFonts w:ascii="Times New Roman" w:cs="Times New Roman" w:eastAsia="Times New Roman" w:hAnsi="Times New Roman"/>
          <w:sz w:val="18"/>
          <w:szCs w:val="18"/>
          <w:color w:val="auto"/>
        </w:rPr>
        <w:t>On November 8, 2023, the Company entered into a Stock Purchase Agreement (the “Stock Purchase Agreement”) with Fleming Intermediate Holdings LLC, a Cayman Islands limited liability company (the “Buyer”). Pursuant to the Stock Purchase Agreement, and on the terms and subject to the conditions therein, the Buyer agreed to purchase from the Company all of the common shares of JRG Re. JRG Re comprised the remaining operations of the former Casualty Reinsurance segment, and the sale of JRG Re, which closed on April 16, 2024, resulted in the Company’s disposition of its casualty reinsurance business and related assets.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the terms of the Stock Purchase Agreement, the aggregate purchase price received by the Company, after giving effect to estimated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based on changes in JRG Re’s adjusted net worth between March 31, 2023 and the closing, totaled approximately $291.4 million (the “Closing</w:t>
      </w:r>
    </w:p>
    <w:p>
      <w:pPr>
        <w:spacing w:after="0" w:line="233" w:lineRule="auto"/>
        <w:rPr>
          <w:sz w:val="20"/>
          <w:szCs w:val="20"/>
          <w:color w:val="auto"/>
        </w:rPr>
      </w:pPr>
      <w:r>
        <w:rPr>
          <w:rFonts w:ascii="Times New Roman" w:cs="Times New Roman" w:eastAsia="Times New Roman" w:hAnsi="Times New Roman"/>
          <w:sz w:val="18"/>
          <w:szCs w:val="18"/>
          <w:color w:val="auto"/>
        </w:rPr>
        <w:t>Date Purchase Price”). The aggregate Closing Date Purchase Price was comprised of (i) $152.4 million paid in cash by the Buyer and (ii) an aggregate</w:t>
      </w:r>
    </w:p>
    <w:p>
      <w:pPr>
        <w:spacing w:after="0" w:line="234" w:lineRule="auto"/>
        <w:rPr>
          <w:sz w:val="20"/>
          <w:szCs w:val="20"/>
          <w:color w:val="auto"/>
        </w:rPr>
      </w:pPr>
      <w:r>
        <w:rPr>
          <w:rFonts w:ascii="Times New Roman" w:cs="Times New Roman" w:eastAsia="Times New Roman" w:hAnsi="Times New Roman"/>
          <w:sz w:val="18"/>
          <w:szCs w:val="18"/>
          <w:color w:val="auto"/>
        </w:rPr>
        <w:t>$139.0 million dividend and distribution from contributed surplus by JRG Re to the Company. In accordance with the Stock Purchase Agreement, the cash</w:t>
      </w:r>
    </w:p>
    <w:p>
      <w:pPr>
        <w:spacing w:after="0" w:line="234" w:lineRule="auto"/>
        <w:rPr>
          <w:sz w:val="20"/>
          <w:szCs w:val="20"/>
          <w:color w:val="auto"/>
        </w:rPr>
      </w:pPr>
      <w:r>
        <w:rPr>
          <w:rFonts w:ascii="Times New Roman" w:cs="Times New Roman" w:eastAsia="Times New Roman" w:hAnsi="Times New Roman"/>
          <w:sz w:val="18"/>
          <w:szCs w:val="18"/>
          <w:color w:val="auto"/>
        </w:rPr>
        <w:t>portion of the purchase price was calculated based on an estimated balance sheet of JRG Re as of the date of closing. The estimated balance sheet is subject</w:t>
      </w:r>
    </w:p>
    <w:p>
      <w:pPr>
        <w:spacing w:after="0"/>
        <w:rPr>
          <w:sz w:val="20"/>
          <w:szCs w:val="20"/>
          <w:color w:val="auto"/>
        </w:rPr>
      </w:pPr>
      <w:r>
        <w:rPr>
          <w:rFonts w:ascii="Times New Roman" w:cs="Times New Roman" w:eastAsia="Times New Roman" w:hAnsi="Times New Roman"/>
          <w:sz w:val="18"/>
          <w:szCs w:val="18"/>
          <w:color w:val="auto"/>
        </w:rPr>
        <w:t>to final post-closing adjustments, which resulted in the downward adjustment to the purchase price discussed below.</w:t>
      </w:r>
    </w:p>
    <w:p>
      <w:pPr>
        <w:spacing w:after="0" w:line="95" w:lineRule="exact"/>
        <w:rPr>
          <w:sz w:val="20"/>
          <w:szCs w:val="20"/>
          <w:color w:val="auto"/>
        </w:rPr>
      </w:pPr>
    </w:p>
    <w:p>
      <w:pPr>
        <w:ind w:firstLine="323"/>
        <w:spacing w:after="0" w:line="253" w:lineRule="auto"/>
        <w:rPr>
          <w:sz w:val="20"/>
          <w:szCs w:val="20"/>
          <w:color w:val="auto"/>
        </w:rPr>
      </w:pPr>
      <w:r>
        <w:rPr>
          <w:rFonts w:ascii="Times New Roman" w:cs="Times New Roman" w:eastAsia="Times New Roman" w:hAnsi="Times New Roman"/>
          <w:sz w:val="18"/>
          <w:szCs w:val="18"/>
          <w:color w:val="auto"/>
        </w:rPr>
        <w:t>The Buyer delivered a closing statement to the Company, and pursuant to the procedures in the Stock Purchase Agreement, the Company has given its notice of disagreement with the Buyer’s closing statement. In its notice of disagreement, the Company (i) agreed with an $11.4 million downward adjustment to the Closing Date Purchase Price due to losses from JRG Re’s operations between the date of the balance sheet used to produce the estimated closing statement and the Closing Date, which downward adjustment was paid to the Buyer on October 18, 2024, and (ii) disputed $54.1 million in aggregate downward adjustments to the Closing Date Purchase Price claimed by the Buyer, which the Company believes are unsupported by the facts known to the Company and the terms of the Stock Purchase Agreement. The Stock Purchase Agreement provides procedures for resolving disputes between the parties regarding the closing statement and it is possible that the resolution of these disputes could result in a significant reduction to the amount of the purchase price.</w:t>
      </w:r>
    </w:p>
    <w:p>
      <w:pPr>
        <w:spacing w:after="0" w:line="82" w:lineRule="exact"/>
        <w:rPr>
          <w:sz w:val="20"/>
          <w:szCs w:val="20"/>
          <w:color w:val="auto"/>
        </w:rPr>
      </w:pPr>
    </w:p>
    <w:p>
      <w:pPr>
        <w:ind w:right="220" w:firstLine="323"/>
        <w:spacing w:after="0" w:line="259" w:lineRule="auto"/>
        <w:rPr>
          <w:sz w:val="20"/>
          <w:szCs w:val="20"/>
          <w:color w:val="auto"/>
        </w:rPr>
      </w:pPr>
      <w:r>
        <w:rPr>
          <w:rFonts w:ascii="Times New Roman" w:cs="Times New Roman" w:eastAsia="Times New Roman" w:hAnsi="Times New Roman"/>
          <w:sz w:val="18"/>
          <w:szCs w:val="18"/>
          <w:color w:val="auto"/>
        </w:rPr>
        <w:t>We have determined that the sale of JRG Re met the criteria to be classified as held for sale at December 31, 2023 and that the sale represented a strategic shift that will have a major effect on the Company's operations. Accordingly, the results of JRG Re's operations have been presented as discontinued operations, and the assets and liabilities of JRG Re at December 31, 2023 have been classified as held for sale and segregated for all periods presented in this Annual Report on Form 10-K.</w:t>
      </w:r>
    </w:p>
    <w:p>
      <w:pPr>
        <w:spacing w:after="0" w:line="74" w:lineRule="exact"/>
        <w:rPr>
          <w:sz w:val="20"/>
          <w:szCs w:val="20"/>
          <w:color w:val="auto"/>
        </w:rPr>
      </w:pPr>
    </w:p>
    <w:p>
      <w:pPr>
        <w:ind w:right="180" w:firstLine="323"/>
        <w:spacing w:after="0" w:line="255" w:lineRule="auto"/>
        <w:rPr>
          <w:sz w:val="20"/>
          <w:szCs w:val="20"/>
          <w:color w:val="auto"/>
        </w:rPr>
      </w:pPr>
      <w:r>
        <w:rPr>
          <w:rFonts w:ascii="Times New Roman" w:cs="Times New Roman" w:eastAsia="Times New Roman" w:hAnsi="Times New Roman"/>
          <w:sz w:val="18"/>
          <w:szCs w:val="18"/>
          <w:color w:val="auto"/>
        </w:rPr>
        <w:t>The $139.0 million pre-closing dividend was completed in the first quarter of 2024. It included the forgiveness of $133.2 million owed from JRG Holdings to JRG Re and $5.8 million paid in cash to JRG Holdings. In the fourth quarter of 2023, after giving effect to the pre-closing dividend, we recorded an estimated loss on sale of $80.4 million to write down the carrying value of JRG Re to its estimated fair value based upon the estimated sales price of the transaction less costs to sell and other adjustments in accordance with the Stock Purchase Agreement. For the year ended December 31, 2024, the estimated loss on the sale was revised to $78.3 million. The loss on disposal for the year ended December 31, 2024 of $4.1 million includes the $2.1 million gain for the change in the estimated loss on sale and expenses incurred of $6.2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for the years ended December 31, 2024 and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6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6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1,431,772</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1,508,660</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(5.1)%</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Net retention</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40.6 %</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46.0 %</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580,854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693,901</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(16.3)%</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(15.2)%</w:t>
            </w:r>
          </w:p>
        </w:tc>
        <w:tc>
          <w:tcPr>
            <w:tcW w:w="0" w:type="dxa"/>
            <w:vAlign w:val="bottom"/>
          </w:tcPr>
          <w:p>
            <w:pPr>
              <w:spacing w:after="0" w:line="20" w:lineRule="exact"/>
              <w:rPr>
                <w:sz w:val="1"/>
                <w:szCs w:val="1"/>
                <w:color w:val="auto"/>
              </w:rPr>
            </w:pPr>
          </w:p>
        </w:tc>
      </w:tr>
      <w:tr>
        <w:trPr>
          <w:trHeight w:val="202"/>
        </w:trPr>
        <w:tc>
          <w:tcPr>
            <w:tcW w:w="6340" w:type="dxa"/>
            <w:vAlign w:val="bottom"/>
            <w:vMerge w:val="continue"/>
          </w:tcPr>
          <w:p>
            <w:pPr>
              <w:spacing w:after="0"/>
              <w:rPr>
                <w:sz w:val="17"/>
                <w:szCs w:val="17"/>
                <w:color w:val="auto"/>
              </w:rPr>
            </w:pPr>
          </w:p>
        </w:tc>
        <w:tc>
          <w:tcPr>
            <w:tcW w:w="380" w:type="dxa"/>
            <w:vAlign w:val="bottom"/>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2"/>
              <w:spacing w:after="0" w:line="202" w:lineRule="exact"/>
              <w:rPr>
                <w:sz w:val="20"/>
                <w:szCs w:val="20"/>
                <w:color w:val="auto"/>
              </w:rPr>
            </w:pPr>
            <w:r>
              <w:rPr>
                <w:rFonts w:ascii="Times New Roman" w:cs="Times New Roman" w:eastAsia="Times New Roman" w:hAnsi="Times New Roman"/>
                <w:sz w:val="18"/>
                <w:szCs w:val="18"/>
                <w:color w:val="auto"/>
              </w:rPr>
              <w:t>600,196</w:t>
            </w:r>
          </w:p>
        </w:tc>
        <w:tc>
          <w:tcPr>
            <w:tcW w:w="120" w:type="dxa"/>
            <w:vAlign w:val="bottom"/>
          </w:tcPr>
          <w:p>
            <w:pPr>
              <w:spacing w:after="0"/>
              <w:rPr>
                <w:sz w:val="17"/>
                <w:szCs w:val="17"/>
                <w:color w:val="auto"/>
              </w:rPr>
            </w:pPr>
          </w:p>
        </w:tc>
        <w:tc>
          <w:tcPr>
            <w:tcW w:w="520" w:type="dxa"/>
            <w:vAlign w:val="bottom"/>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1"/>
              <w:spacing w:after="0" w:line="202" w:lineRule="exact"/>
              <w:rPr>
                <w:sz w:val="20"/>
                <w:szCs w:val="20"/>
                <w:color w:val="auto"/>
              </w:rPr>
            </w:pPr>
            <w:r>
              <w:rPr>
                <w:rFonts w:ascii="Times New Roman" w:cs="Times New Roman" w:eastAsia="Times New Roman" w:hAnsi="Times New Roman"/>
                <w:sz w:val="18"/>
                <w:szCs w:val="18"/>
                <w:color w:val="auto"/>
              </w:rPr>
              <w:t>708,005</w:t>
            </w:r>
          </w:p>
        </w:tc>
        <w:tc>
          <w:tcPr>
            <w:tcW w:w="1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excluding retroactive reinsurance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(517,137)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(495,166)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4.4 %</w:t>
            </w:r>
          </w:p>
        </w:tc>
        <w:tc>
          <w:tcPr>
            <w:tcW w:w="0" w:type="dxa"/>
            <w:vAlign w:val="bottom"/>
          </w:tcPr>
          <w:p>
            <w:pPr>
              <w:spacing w:after="0"/>
              <w:rPr>
                <w:sz w:val="1"/>
                <w:szCs w:val="1"/>
                <w:color w:val="auto"/>
              </w:rPr>
            </w:pPr>
          </w:p>
        </w:tc>
      </w:tr>
      <w:tr>
        <w:trPr>
          <w:trHeight w:val="228"/>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(188,613)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(188,355)</w:t>
            </w:r>
          </w:p>
        </w:tc>
        <w:tc>
          <w:tcPr>
            <w:tcW w:w="1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0.1 %</w:t>
            </w:r>
          </w:p>
        </w:tc>
        <w:tc>
          <w:tcPr>
            <w:tcW w:w="0" w:type="dxa"/>
            <w:vAlign w:val="bottom"/>
          </w:tcPr>
          <w:p>
            <w:pPr>
              <w:spacing w:after="0"/>
              <w:rPr>
                <w:sz w:val="1"/>
                <w:szCs w:val="1"/>
                <w:color w:val="auto"/>
              </w:rPr>
            </w:pPr>
          </w:p>
        </w:tc>
      </w:tr>
      <w:tr>
        <w:trPr>
          <w:trHeight w:val="22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Underwriting (loss) profit </w:t>
            </w:r>
            <w:r>
              <w:rPr>
                <w:rFonts w:ascii="Times New Roman" w:cs="Times New Roman" w:eastAsia="Times New Roman" w:hAnsi="Times New Roman"/>
                <w:sz w:val="14"/>
                <w:szCs w:val="14"/>
                <w:color w:val="auto"/>
              </w:rPr>
              <w:t>(1), (2)</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(105,554)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24,484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2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 retroactive reinsurance</w:t>
            </w:r>
          </w:p>
        </w:tc>
        <w:tc>
          <w:tcPr>
            <w:tcW w:w="38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(37,237)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(4,991)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646.1 %</w:t>
            </w:r>
          </w:p>
        </w:tc>
        <w:tc>
          <w:tcPr>
            <w:tcW w:w="0" w:type="dxa"/>
            <w:vAlign w:val="bottom"/>
          </w:tcPr>
          <w:p>
            <w:pPr>
              <w:spacing w:after="0"/>
              <w:rPr>
                <w:sz w:val="1"/>
                <w:szCs w:val="1"/>
                <w:color w:val="auto"/>
              </w:rPr>
            </w:pPr>
          </w:p>
        </w:tc>
      </w:tr>
      <w:tr>
        <w:trPr>
          <w:trHeight w:val="22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93,089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84,046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10.8 %</w:t>
            </w:r>
          </w:p>
        </w:tc>
        <w:tc>
          <w:tcPr>
            <w:tcW w:w="0" w:type="dxa"/>
            <w:vAlign w:val="bottom"/>
          </w:tcPr>
          <w:p>
            <w:pPr>
              <w:spacing w:after="0"/>
              <w:rPr>
                <w:sz w:val="1"/>
                <w:szCs w:val="1"/>
                <w:color w:val="auto"/>
              </w:rPr>
            </w:pPr>
          </w:p>
        </w:tc>
      </w:tr>
      <w:tr>
        <w:trPr>
          <w:trHeight w:val="22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38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10,441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(65.3)%</w:t>
            </w:r>
          </w:p>
        </w:tc>
        <w:tc>
          <w:tcPr>
            <w:tcW w:w="0" w:type="dxa"/>
            <w:vAlign w:val="bottom"/>
          </w:tcPr>
          <w:p>
            <w:pPr>
              <w:spacing w:after="0"/>
              <w:rPr>
                <w:sz w:val="1"/>
                <w:szCs w:val="1"/>
                <w:color w:val="auto"/>
              </w:rPr>
            </w:pPr>
          </w:p>
        </w:tc>
      </w:tr>
      <w:tr>
        <w:trPr>
          <w:trHeight w:val="22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and 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2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(24,666)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(24,627)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0.2 %</w:t>
            </w:r>
          </w:p>
        </w:tc>
        <w:tc>
          <w:tcPr>
            <w:tcW w:w="0" w:type="dxa"/>
            <w:vAlign w:val="bottom"/>
          </w:tcPr>
          <w:p>
            <w:pPr>
              <w:spacing w:after="0"/>
              <w:rPr>
                <w:sz w:val="1"/>
                <w:szCs w:val="1"/>
                <w:color w:val="auto"/>
              </w:rPr>
            </w:pPr>
          </w:p>
        </w:tc>
      </w:tr>
      <w:tr>
        <w:trPr>
          <w:trHeight w:val="22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2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8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22"/>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before taxes</w:t>
            </w: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(71,120)</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86,914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28"/>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 on continuing operations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(7,634)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25,705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2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(63,486)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61,209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28"/>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(17,634)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(168,893)</w:t>
            </w:r>
          </w:p>
        </w:tc>
        <w:tc>
          <w:tcPr>
            <w:tcW w:w="1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(89.6)%</w:t>
            </w:r>
          </w:p>
        </w:tc>
        <w:tc>
          <w:tcPr>
            <w:tcW w:w="0" w:type="dxa"/>
            <w:vAlign w:val="bottom"/>
          </w:tcPr>
          <w:p>
            <w:pPr>
              <w:spacing w:after="0"/>
              <w:rPr>
                <w:sz w:val="1"/>
                <w:szCs w:val="1"/>
                <w:color w:val="auto"/>
              </w:rPr>
            </w:pPr>
          </w:p>
        </w:tc>
      </w:tr>
      <w:tr>
        <w:trPr>
          <w:trHeight w:val="22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(81,120)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(107,684)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(24.7)%</w:t>
            </w:r>
          </w:p>
        </w:tc>
        <w:tc>
          <w:tcPr>
            <w:tcW w:w="0" w:type="dxa"/>
            <w:vAlign w:val="bottom"/>
          </w:tcPr>
          <w:p>
            <w:pPr>
              <w:spacing w:after="0"/>
              <w:rPr>
                <w:sz w:val="1"/>
                <w:szCs w:val="1"/>
                <w:color w:val="auto"/>
              </w:rPr>
            </w:pPr>
          </w:p>
        </w:tc>
      </w:tr>
      <w:tr>
        <w:trPr>
          <w:trHeight w:val="228"/>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Dividends on Series A Preferred Shares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(37,149)</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(10,500)</w:t>
            </w:r>
          </w:p>
        </w:tc>
        <w:tc>
          <w:tcPr>
            <w:tcW w:w="1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253.8 %</w:t>
            </w:r>
          </w:p>
        </w:tc>
        <w:tc>
          <w:tcPr>
            <w:tcW w:w="0" w:type="dxa"/>
            <w:vAlign w:val="bottom"/>
          </w:tcPr>
          <w:p>
            <w:pPr>
              <w:spacing w:after="0"/>
              <w:rPr>
                <w:sz w:val="1"/>
                <w:szCs w:val="1"/>
                <w:color w:val="auto"/>
              </w:rPr>
            </w:pPr>
          </w:p>
        </w:tc>
      </w:tr>
      <w:tr>
        <w:trPr>
          <w:trHeight w:val="247"/>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available to common shareholders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(118,269)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(118,184)</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0.1 %</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 xml:space="preserve">Adjusted net operating (loss) income </w:t>
            </w:r>
            <w:r>
              <w:rPr>
                <w:rFonts w:ascii="Times New Roman" w:cs="Times New Roman" w:eastAsia="Times New Roman" w:hAnsi="Times New Roman"/>
                <w:sz w:val="14"/>
                <w:szCs w:val="14"/>
                <w:color w:val="auto"/>
              </w:rPr>
              <w:t>(1)</w:t>
            </w:r>
          </w:p>
        </w:tc>
        <w:tc>
          <w:tcPr>
            <w:tcW w:w="380" w:type="dxa"/>
            <w:vAlign w:val="bottom"/>
            <w:tcBorders>
              <w:bottom w:val="single" w:sz="8" w:color="auto"/>
            </w:tcBorders>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72"/>
              <w:spacing w:after="0" w:line="202" w:lineRule="exact"/>
              <w:rPr>
                <w:sz w:val="20"/>
                <w:szCs w:val="20"/>
                <w:color w:val="auto"/>
              </w:rPr>
            </w:pPr>
            <w:r>
              <w:rPr>
                <w:rFonts w:ascii="Times New Roman" w:cs="Times New Roman" w:eastAsia="Times New Roman" w:hAnsi="Times New Roman"/>
                <w:sz w:val="18"/>
                <w:szCs w:val="18"/>
                <w:color w:val="auto"/>
              </w:rPr>
              <w:t>(41,503)</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1"/>
              <w:spacing w:after="0" w:line="202" w:lineRule="exact"/>
              <w:rPr>
                <w:sz w:val="20"/>
                <w:szCs w:val="20"/>
                <w:color w:val="auto"/>
              </w:rPr>
            </w:pPr>
            <w:r>
              <w:rPr>
                <w:rFonts w:ascii="Times New Roman" w:cs="Times New Roman" w:eastAsia="Times New Roman" w:hAnsi="Times New Roman"/>
                <w:sz w:val="18"/>
                <w:szCs w:val="18"/>
                <w:color w:val="auto"/>
              </w:rPr>
              <w:t>50,317</w:t>
            </w:r>
          </w:p>
        </w:tc>
        <w:tc>
          <w:tcPr>
            <w:tcW w:w="100" w:type="dxa"/>
            <w:vAlign w:val="bottom"/>
          </w:tcPr>
          <w:p>
            <w:pPr>
              <w:spacing w:after="0"/>
              <w:rPr>
                <w:sz w:val="17"/>
                <w:szCs w:val="17"/>
                <w:color w:val="auto"/>
              </w:rPr>
            </w:pPr>
          </w:p>
        </w:tc>
        <w:tc>
          <w:tcPr>
            <w:tcW w:w="1540" w:type="dxa"/>
            <w:vAlign w:val="bottom"/>
          </w:tcPr>
          <w:p>
            <w:pPr>
              <w:jc w:val="right"/>
              <w:ind w:right="132"/>
              <w:spacing w:after="0" w:line="202" w:lineRule="exact"/>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4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Ratios:</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ratio</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year loss ratio</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400" w:hanging="393"/>
        <w:spacing w:after="0"/>
        <w:tabs>
          <w:tab w:leader="none" w:pos="40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(loss) profit and adjusted net operating (loss) income are non-GAAP measures. See “Reconciliation of Non-GAAP Measures.”</w:t>
      </w:r>
    </w:p>
    <w:p>
      <w:pPr>
        <w:spacing w:after="0" w:line="115" w:lineRule="exact"/>
        <w:rPr>
          <w:rFonts w:ascii="Times New Roman" w:cs="Times New Roman" w:eastAsia="Times New Roman" w:hAnsi="Times New Roman"/>
          <w:sz w:val="18"/>
          <w:szCs w:val="18"/>
          <w:i w:val="1"/>
          <w:iCs w:val="1"/>
          <w:color w:val="auto"/>
        </w:rPr>
      </w:pPr>
    </w:p>
    <w:p>
      <w:pPr>
        <w:ind w:left="400" w:hanging="393"/>
        <w:spacing w:after="0"/>
        <w:tabs>
          <w:tab w:leader="none" w:pos="40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results include gross fee income of $21.0 million and $24.2 million for the years ended December 31, 2024 and 2023, respectively.</w:t>
      </w:r>
    </w:p>
    <w:p>
      <w:pPr>
        <w:spacing w:after="0" w:line="117" w:lineRule="exact"/>
        <w:rPr>
          <w:sz w:val="20"/>
          <w:szCs w:val="20"/>
          <w:color w:val="auto"/>
        </w:rPr>
      </w:pPr>
    </w:p>
    <w:p>
      <w:pPr>
        <w:ind w:firstLine="323"/>
        <w:spacing w:after="0" w:line="255" w:lineRule="auto"/>
        <w:rPr>
          <w:sz w:val="20"/>
          <w:szCs w:val="20"/>
          <w:color w:val="auto"/>
        </w:rPr>
      </w:pPr>
      <w:r>
        <w:rPr>
          <w:rFonts w:ascii="Times New Roman" w:cs="Times New Roman" w:eastAsia="Times New Roman" w:hAnsi="Times New Roman"/>
          <w:sz w:val="18"/>
          <w:szCs w:val="18"/>
          <w:color w:val="auto"/>
        </w:rPr>
        <w:t>The Company reported a net loss from continuing operations of $63.5 million for the year ended December 31, 2024 compared to net income from continuing operations of $61.2 million for the year ended December 31, 2023. The net loss from continuing operations in the current year was largely attributable to the Excess and Surplus Lines segment which was impacted by $76.7 million of net adverse reserve development (including a $52.2 million reserve charge upon execution of the E&amp;S ADC in the third quarter) and $52.8 million of ceded premium recorded upon execution of the E&amp;S Top Up ADC in the fourth quarter. Adjusted net operating loss was $41.5 million for the year ended December 31, 2024 compared to adjusted net operating income of $50.3 million for the year ended December 31, 2023.</w:t>
      </w:r>
    </w:p>
    <w:p>
      <w:pPr>
        <w:spacing w:after="0" w:line="78" w:lineRule="exact"/>
        <w:rPr>
          <w:sz w:val="20"/>
          <w:szCs w:val="20"/>
          <w:color w:val="auto"/>
        </w:rPr>
      </w:pPr>
    </w:p>
    <w:p>
      <w:pPr>
        <w:ind w:right="160" w:firstLine="323"/>
        <w:spacing w:after="0" w:line="256" w:lineRule="auto"/>
        <w:rPr>
          <w:sz w:val="20"/>
          <w:szCs w:val="20"/>
          <w:color w:val="auto"/>
        </w:rPr>
      </w:pPr>
      <w:r>
        <w:rPr>
          <w:rFonts w:ascii="Times New Roman" w:cs="Times New Roman" w:eastAsia="Times New Roman" w:hAnsi="Times New Roman"/>
          <w:sz w:val="18"/>
          <w:szCs w:val="18"/>
          <w:color w:val="auto"/>
        </w:rPr>
        <w:t>Underwriting results were a loss of $105.6 million (combined ratio of 117.6%) for the year ended December 31, 2024 compared to profit of $24.5 million (combined ratio of 96.5%) for the year ended December 31, 2023. The underwriting loss in the current year was largely driven by net adverse reserve development (see loss ratio discussion below) and the $52.8 million of ceded premium associated with the E&amp;S Top Up ADC which increased our combined ratio by 9.5 points. Underwriting results for the years ended December 31, 2024 and 2023 also include $13.7 million and $16.4 million, respectively, of premium</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adjustments associated with prior years including reinstatement premium in the Excess and Surplus Lines segment which reduced net written and net earned premiums, and underwriting profit. The impact of the premium adjustments was a 2.6 and 2.1 percentage point increase in our combined ratios in the respective years.</w:t>
      </w:r>
    </w:p>
    <w:p>
      <w:pPr>
        <w:spacing w:after="0" w:line="69" w:lineRule="exact"/>
        <w:rPr>
          <w:sz w:val="20"/>
          <w:szCs w:val="20"/>
          <w:color w:val="auto"/>
        </w:rPr>
      </w:pPr>
    </w:p>
    <w:p>
      <w:pPr>
        <w:ind w:firstLine="323"/>
        <w:spacing w:after="0" w:line="253" w:lineRule="auto"/>
        <w:rPr>
          <w:sz w:val="20"/>
          <w:szCs w:val="20"/>
          <w:color w:val="auto"/>
        </w:rPr>
      </w:pPr>
      <w:r>
        <w:rPr>
          <w:rFonts w:ascii="Times New Roman" w:cs="Times New Roman" w:eastAsia="Times New Roman" w:hAnsi="Times New Roman"/>
          <w:sz w:val="18"/>
          <w:szCs w:val="18"/>
          <w:color w:val="auto"/>
        </w:rPr>
        <w:t>Our loss ratio increased from 69.9% in the prior year to 86.2% in the current year primarily driven by higher net adverse reserve development and the impact of the ceded premium associated with the E&amp;S Top Up ADC (+7.0 points). Net adverse reserve development on prior accident years (excluding adverse prior year development from continuing operations that is subject to retroactive reinsurance accounting - see discussion below) was $76.1 million or 12.7 percentage points adverse for the year ended December 31, 2024 compared to $31.6 million or 4.5 percentage points adverse for the year ended December 31, 2023. The adverse reserve development for the year ended December 31, 2024 included $76.7 million of net adverse development in the Excess and Surplus Lines segment, including the $52.2 million reserve charge upon execution of the E&amp;S ADC (consideration paid in excess of initial reserves), and $607,000 of net favorable development in the Specialty Admitted Insurance segment. The adverse reserve development for the year ended December 31, 2023 included $32.6 million of net adverse reserve development in the Excess and Surplus Lines segment and $1.0 million of net favorable development in the Specialty Admitted Insurance segment.</w:t>
      </w:r>
    </w:p>
    <w:p>
      <w:pPr>
        <w:spacing w:after="0" w:line="79" w:lineRule="exact"/>
        <w:rPr>
          <w:sz w:val="20"/>
          <w:szCs w:val="20"/>
          <w:color w:val="auto"/>
        </w:rPr>
      </w:pPr>
    </w:p>
    <w:p>
      <w:pPr>
        <w:ind w:right="60" w:firstLine="323"/>
        <w:spacing w:after="0" w:line="259" w:lineRule="auto"/>
        <w:rPr>
          <w:sz w:val="20"/>
          <w:szCs w:val="20"/>
          <w:color w:val="auto"/>
        </w:rPr>
      </w:pPr>
      <w:r>
        <w:rPr>
          <w:rFonts w:ascii="Times New Roman" w:cs="Times New Roman" w:eastAsia="Times New Roman" w:hAnsi="Times New Roman"/>
          <w:sz w:val="18"/>
          <w:szCs w:val="18"/>
          <w:color w:val="auto"/>
        </w:rPr>
        <w:t>Our expense ratio increased from 26.6% in the prior year to 31.4% in the current year largely driven by higher compensation and bad debt expenses, and lower net earned premiums in the Excess and Surplus Lines segment which was impacted by the $52.8 million of ceded premium on the E&amp;S Top Up ADC (+2.5 point impact on consolidated expense ratio), partially offset by a lower current year expense ratio for the Specialty Admitted Insurance segment driven by lower commissions and lower expenses for compensation and taxes, licenses, and fees.</w:t>
      </w:r>
    </w:p>
    <w:p>
      <w:pPr>
        <w:spacing w:after="0" w:line="74" w:lineRule="exact"/>
        <w:rPr>
          <w:sz w:val="20"/>
          <w:szCs w:val="20"/>
          <w:color w:val="auto"/>
        </w:rPr>
      </w:pPr>
    </w:p>
    <w:p>
      <w:pPr>
        <w:ind w:right="200" w:firstLine="323"/>
        <w:spacing w:after="0" w:line="256" w:lineRule="auto"/>
        <w:rPr>
          <w:sz w:val="20"/>
          <w:szCs w:val="20"/>
          <w:color w:val="auto"/>
        </w:rPr>
      </w:pPr>
      <w:r>
        <w:rPr>
          <w:rFonts w:ascii="Times New Roman" w:cs="Times New Roman" w:eastAsia="Times New Roman" w:hAnsi="Times New Roman"/>
          <w:sz w:val="18"/>
          <w:szCs w:val="18"/>
          <w:color w:val="auto"/>
        </w:rPr>
        <w:t>Investment income grew by $9.0 million or 10.8% over the prior year principally driven by higher yields and higher invested assets in our continuing operations following the commutation of an internal quota share arrangement with JRG Re in the second and third quarters of 2023. Net realized and unrealized gains on investments for the year ended December 31, 2024 include $1.5 million of unfavorable mark-to-market adjustments on our equity securities and bank loan participations reflecting decreases in their fair values in the period compared to $12.8 million of favorable mark-to-market adjustments on equity securities and bank loan participations in the prior year (see “</w:t>
      </w:r>
      <w:r>
        <w:rPr>
          <w:rFonts w:ascii="Times New Roman" w:cs="Times New Roman" w:eastAsia="Times New Roman" w:hAnsi="Times New Roman"/>
          <w:sz w:val="18"/>
          <w:szCs w:val="18"/>
          <w:i w:val="1"/>
          <w:iCs w:val="1"/>
          <w:color w:val="auto"/>
        </w:rPr>
        <w:t>Investing Results</w:t>
      </w:r>
      <w:r>
        <w:rPr>
          <w:rFonts w:ascii="Times New Roman" w:cs="Times New Roman" w:eastAsia="Times New Roman" w:hAnsi="Times New Roman"/>
          <w:sz w:val="18"/>
          <w:szCs w:val="18"/>
          <w:color w:val="auto"/>
        </w:rPr>
        <w:t>” below).</w:t>
      </w:r>
    </w:p>
    <w:p>
      <w:pPr>
        <w:spacing w:after="0" w:line="79" w:lineRule="exact"/>
        <w:rPr>
          <w:sz w:val="20"/>
          <w:szCs w:val="20"/>
          <w:color w:val="auto"/>
        </w:rPr>
      </w:pPr>
    </w:p>
    <w:p>
      <w:pPr>
        <w:ind w:right="180" w:firstLine="323"/>
        <w:spacing w:after="0" w:line="259" w:lineRule="auto"/>
        <w:rPr>
          <w:sz w:val="20"/>
          <w:szCs w:val="20"/>
          <w:color w:val="auto"/>
        </w:rPr>
      </w:pPr>
      <w:r>
        <w:rPr>
          <w:rFonts w:ascii="Times New Roman" w:cs="Times New Roman" w:eastAsia="Times New Roman" w:hAnsi="Times New Roman"/>
          <w:sz w:val="18"/>
          <w:szCs w:val="18"/>
          <w:color w:val="auto"/>
        </w:rPr>
        <w:t>On September 29, 2023, the Company completed the sale of the renewal rights to the IRWC business in the Specialty Admitted Insurance segment. Upon closing of the transaction, the Company recognized a $2.2 million gain on sale included in other income in the prior year representing the minimum guaranteed consideration to be received in the transaction. The Company also recognized an impairment charge of $2.5 million related to the trademark intangible asset associated with the IRWC business.</w:t>
      </w:r>
    </w:p>
    <w:p>
      <w:pPr>
        <w:spacing w:after="0" w:line="74" w:lineRule="exact"/>
        <w:rPr>
          <w:sz w:val="20"/>
          <w:szCs w:val="20"/>
          <w:color w:val="auto"/>
        </w:rPr>
      </w:pPr>
    </w:p>
    <w:p>
      <w:pPr>
        <w:ind w:right="80" w:firstLine="323"/>
        <w:spacing w:after="0" w:line="252" w:lineRule="auto"/>
        <w:rPr>
          <w:sz w:val="20"/>
          <w:szCs w:val="20"/>
          <w:color w:val="auto"/>
        </w:rPr>
      </w:pPr>
      <w:r>
        <w:rPr>
          <w:rFonts w:ascii="Times New Roman" w:cs="Times New Roman" w:eastAsia="Times New Roman" w:hAnsi="Times New Roman"/>
          <w:sz w:val="18"/>
          <w:szCs w:val="18"/>
          <w:color w:val="auto"/>
        </w:rPr>
        <w:t>The Company entered into a definitive agreement on November 8, 2023 to sell JRG Re. The sale closed on April 16, 2024 and discontinued operations for both periods include the operating results of JRG Re which were a loss of $13.6 million for the year ended December 31, 2024 compared to a loss of $33.9 million in the prior year. The losses from discontinued operations primarily reflect net adverse development of $7.1 million and $35.5 million in the respective years on treaties not subject to the loss portfolio transfer agreement previously entered into by JRG Re. The current year loss also reflects $9.5 million of realized and unrealized losses on fixed maturity securities. Discontinued operations in the current year also includes $6.2 million of certain transaction-related expenses associated with the sale and a change in the estimate of the loss on sale which together resulted in a $4.1 million loss on disposal in the current year. In the prior year, discontinued operations included $53.2 million of losses recognized on JRG Re's fixed maturity investments (the Company no longer had the intent or ability to hold securities in an unrealized loss position until a recovery of their fair value could occur), $1.4 million of professional services and other costs to sell JRG Re, and an $80.4 million loss on the held-for sale classification of JRG Re's net assets adjusting them down to the anticipated closing price in the transaction.</w:t>
      </w:r>
    </w:p>
    <w:p>
      <w:pPr>
        <w:spacing w:after="0" w:line="84" w:lineRule="exact"/>
        <w:rPr>
          <w:sz w:val="20"/>
          <w:szCs w:val="20"/>
          <w:color w:val="auto"/>
        </w:rPr>
      </w:pPr>
    </w:p>
    <w:p>
      <w:pPr>
        <w:ind w:right="80" w:firstLine="363"/>
        <w:spacing w:after="0" w:line="271" w:lineRule="auto"/>
        <w:rPr>
          <w:sz w:val="20"/>
          <w:szCs w:val="20"/>
          <w:color w:val="auto"/>
        </w:rPr>
      </w:pPr>
      <w:r>
        <w:rPr>
          <w:rFonts w:ascii="Times New Roman" w:cs="Times New Roman" w:eastAsia="Times New Roman" w:hAnsi="Times New Roman"/>
          <w:sz w:val="17"/>
          <w:szCs w:val="17"/>
          <w:color w:val="auto"/>
        </w:rPr>
        <w:t>The Company accounted for the amendment of the Series A Preferred Shares on November 11, 2024 as an extinguishment of the pre-amendment Series A Preferred Shares due to the significance of qualitative and quantitative changes to the shares. The Company estimated the fair value of the new Series A Preferred Shares to be $133.1 million on the date of issuance and classified the new Series A Preferred Shares as mezzanine equity. The Company recorded deemed dividends of $27.0 million within retained deficit for the difference between the $144.9 million carrying value of the extinguished pre-amendment Series A preferred shares and the combined $133.1 million estimated fair value of the new Series A Preferred Shares and the $38.8 million fair value of the new common shares issued through conversion of Series A Preferred Shares in the amendment. Also included in the dividends on Series A Preferred Shares were declared dividends of $10.1 million and $10.5 million for the years ended December 31, 2024 and 2023, respectively.</w:t>
      </w:r>
    </w:p>
    <w:p>
      <w:pPr>
        <w:spacing w:after="0" w:line="67" w:lineRule="exact"/>
        <w:rPr>
          <w:sz w:val="20"/>
          <w:szCs w:val="20"/>
          <w:color w:val="auto"/>
        </w:rPr>
      </w:pPr>
    </w:p>
    <w:p>
      <w:pPr>
        <w:ind w:right="300" w:firstLine="323"/>
        <w:spacing w:after="0" w:line="264" w:lineRule="auto"/>
        <w:rPr>
          <w:sz w:val="20"/>
          <w:szCs w:val="20"/>
          <w:color w:val="auto"/>
        </w:rPr>
      </w:pPr>
      <w:r>
        <w:rPr>
          <w:rFonts w:ascii="Times New Roman" w:cs="Times New Roman" w:eastAsia="Times New Roman" w:hAnsi="Times New Roman"/>
          <w:sz w:val="18"/>
          <w:szCs w:val="18"/>
          <w:color w:val="auto"/>
        </w:rPr>
        <w:t>Adjusted net operating results declined from the prior year primarily reflecting lower underwriting results with a partial offset for higher investment income. Tangible equity decreased by 9.9% mainly due to the net loss in 2024. Tangible equity per share decreased 33.6% reflecting the net loss and dilution from the Enstar common share investment and the Series A Preferred Share amendment in the current year.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Portfolio Transfers and Adverse Development Covers</w:t>
      </w:r>
    </w:p>
    <w:p>
      <w:pPr>
        <w:spacing w:after="0" w:line="119" w:lineRule="exact"/>
        <w:rPr>
          <w:sz w:val="20"/>
          <w:szCs w:val="20"/>
          <w:color w:val="auto"/>
        </w:rPr>
      </w:pPr>
    </w:p>
    <w:p>
      <w:pPr>
        <w:ind w:right="280" w:firstLine="323"/>
        <w:spacing w:after="0" w:line="259" w:lineRule="auto"/>
        <w:rPr>
          <w:sz w:val="20"/>
          <w:szCs w:val="20"/>
          <w:color w:val="auto"/>
        </w:rPr>
      </w:pPr>
      <w:r>
        <w:rPr>
          <w:rFonts w:ascii="Times New Roman" w:cs="Times New Roman" w:eastAsia="Times New Roman" w:hAnsi="Times New Roman"/>
          <w:sz w:val="18"/>
          <w:szCs w:val="18"/>
          <w:color w:val="auto"/>
        </w:rPr>
        <w:t>Loss portfolio transfers and adverse development covers are forms of reinsurance utilized by the Company to transfer losses and loss adjustment expenses and associated risk of adverse development on covered subject business, as defined in the respective agreements, to an assuming reinsurer in exchange for a reinsurance premium. This reinsurance can bring economic finality (up to the limit of such agreements, if applicable) on the subject risks when they no longer meet the Company's risk appetite or are no longer aligned with the Company's risk management guidelines.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Auto Loss Portfolio Transfer</w:t>
      </w:r>
    </w:p>
    <w:p>
      <w:pPr>
        <w:spacing w:after="0" w:line="119" w:lineRule="exact"/>
        <w:rPr>
          <w:sz w:val="20"/>
          <w:szCs w:val="20"/>
          <w:color w:val="auto"/>
        </w:rPr>
      </w:pPr>
    </w:p>
    <w:p>
      <w:pPr>
        <w:ind w:right="160" w:firstLine="323"/>
        <w:spacing w:after="0" w:line="255" w:lineRule="auto"/>
        <w:rPr>
          <w:sz w:val="20"/>
          <w:szCs w:val="20"/>
          <w:color w:val="auto"/>
        </w:rPr>
      </w:pPr>
      <w:r>
        <w:rPr>
          <w:rFonts w:ascii="Times New Roman" w:cs="Times New Roman" w:eastAsia="Times New Roman" w:hAnsi="Times New Roman"/>
          <w:sz w:val="18"/>
          <w:szCs w:val="18"/>
          <w:color w:val="auto"/>
        </w:rPr>
        <w:t>On September 27, 2021, James River entered into a loss portfolio transfer transaction (the “Commercial Auto LPT”)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The reinsurance coverage is structured to be fully collateralized, is not subject to an aggregate limit, and is subject to certain exclusions. The cumulative amounts ceded under the loss portfolio transfer were $459.3 million, $456.2 million and $391.8 million as of December 31, 2024, 2023, and 2022, respectively.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Loss Portfolio Transfer and Adverse Development Cover</w:t>
      </w:r>
    </w:p>
    <w:p>
      <w:pPr>
        <w:spacing w:after="0" w:line="119" w:lineRule="exact"/>
        <w:rPr>
          <w:sz w:val="20"/>
          <w:szCs w:val="20"/>
          <w:color w:val="auto"/>
        </w:rPr>
      </w:pPr>
    </w:p>
    <w:p>
      <w:pPr>
        <w:ind w:right="420" w:firstLine="323"/>
        <w:spacing w:after="0" w:line="280" w:lineRule="auto"/>
        <w:rPr>
          <w:sz w:val="20"/>
          <w:szCs w:val="20"/>
          <w:color w:val="auto"/>
        </w:rPr>
      </w:pPr>
      <w:r>
        <w:rPr>
          <w:rFonts w:ascii="Times New Roman" w:cs="Times New Roman" w:eastAsia="Times New Roman" w:hAnsi="Times New Roman"/>
          <w:sz w:val="18"/>
          <w:szCs w:val="18"/>
          <w:color w:val="auto"/>
        </w:rPr>
        <w:t>On July 2, 2024, James River entered into a Combined Loss Portfolio Transfer and Adverse Development Cover Reinsurance Contract (the “E&amp;S ADC”) with State National Insurance Company, Inc. (“State National”). The transaction closed upon signing.</w:t>
      </w:r>
    </w:p>
    <w:p>
      <w:pPr>
        <w:spacing w:after="0" w:line="55" w:lineRule="exact"/>
        <w:rPr>
          <w:sz w:val="20"/>
          <w:szCs w:val="20"/>
          <w:color w:val="auto"/>
        </w:rPr>
      </w:pPr>
    </w:p>
    <w:p>
      <w:pPr>
        <w:ind w:firstLine="323"/>
        <w:spacing w:after="0" w:line="253" w:lineRule="auto"/>
        <w:rPr>
          <w:sz w:val="20"/>
          <w:szCs w:val="20"/>
          <w:color w:val="auto"/>
        </w:rPr>
      </w:pPr>
      <w:r>
        <w:rPr>
          <w:rFonts w:ascii="Times New Roman" w:cs="Times New Roman" w:eastAsia="Times New Roman" w:hAnsi="Times New Roman"/>
          <w:sz w:val="18"/>
          <w:szCs w:val="18"/>
          <w:color w:val="auto"/>
        </w:rPr>
        <w:t>The E&amp;S ADC was effective January 1, 2024 (the “Effective Date”) and applies to James River’s Excess &amp; Surplus Lines segment casualty portfolio losses attaching to premium earned during 2010-2023 (both years inclusive), excluding, among others, losses related to commercial auto policies issued to a former large insured or its affiliates (the “Subject Business”). Pursuant to the E&amp;S ADC, (a) State National reinsures 85% of losses paid on and after the Effective Date in respect of the Subject Business in excess of $716.6 million up to an aggregate limit of $467.1 million (with State National’s share of the aggregate limit being $397.0 million) in exchange for a reinsurance premium paid by James River equal to $313.2 million, (b) James River continues to manage claims and to manage and collect the benefit of other existing third-party reinsurance on the Subject Business, which third-party reinsurance inures to the benefit of the E&amp;S ADC, and (c) James River is entitled to a profit commission of 50% of any favorable development on the business ceded to State National below 104.5% of carried reserves, which profit commission shall not exceed $87.0 million in total. The Company has $41.2 million of aggregate limit remaining on the E&amp;S ADC at December 31,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Development Cover</w:t>
      </w:r>
    </w:p>
    <w:p>
      <w:pPr>
        <w:spacing w:after="0" w:line="119" w:lineRule="exact"/>
        <w:rPr>
          <w:sz w:val="20"/>
          <w:szCs w:val="20"/>
          <w:color w:val="auto"/>
        </w:rPr>
      </w:pPr>
    </w:p>
    <w:p>
      <w:pPr>
        <w:ind w:right="80" w:firstLine="323"/>
        <w:spacing w:after="0" w:line="253" w:lineRule="auto"/>
        <w:rPr>
          <w:sz w:val="20"/>
          <w:szCs w:val="20"/>
          <w:color w:val="auto"/>
        </w:rPr>
      </w:pPr>
      <w:r>
        <w:rPr>
          <w:rFonts w:ascii="Times New Roman" w:cs="Times New Roman" w:eastAsia="Times New Roman" w:hAnsi="Times New Roman"/>
          <w:sz w:val="18"/>
          <w:szCs w:val="18"/>
          <w:color w:val="auto"/>
        </w:rPr>
        <w:t>On November 11, 2024, Enstar, through its subsidiary Cavello Bay Reinsurance Limited, entered into an adverse development cover agreement with James River (the “E&amp;S Top Up ADC”), pursuant to which, in exchange for a premium of $52.8 million (less an amount equal to the federal excise tax payable on the premium), Cavello Bay reinsures, effective January 1, 2024, 100% of the losses associated with James River’s Excess &amp; Surplus Lines segment casualty portfolio losses attaching to premium earned during 2010-2023 (both years inclusive). The E&amp;S Top Up ADC excludes losses related to commercial auto policies issued to a former large insured or its affiliates and is subject to a retention by James River of $1,183.7 million (the limit of the E&amp;S ADC) and up to an aggregate limit of $75.0 million. The E&amp;S Top Up ADC closed on December 23, 2024. The Company recognized a $52.8 million reduction in pre-tax income in connection with the adverse development cover upon closing. The Company has $75.0 million of aggregate limit remaining on the E&amp;S Top Up ADC at December 31, 2024.</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Retroactive Reinsurance Accounting</w:t>
      </w:r>
    </w:p>
    <w:p>
      <w:pPr>
        <w:spacing w:after="0" w:line="119" w:lineRule="exact"/>
        <w:rPr>
          <w:sz w:val="20"/>
          <w:szCs w:val="20"/>
          <w:color w:val="auto"/>
        </w:rPr>
      </w:pPr>
    </w:p>
    <w:p>
      <w:pPr>
        <w:ind w:right="60" w:firstLine="323"/>
        <w:spacing w:after="0" w:line="254" w:lineRule="auto"/>
        <w:rPr>
          <w:sz w:val="20"/>
          <w:szCs w:val="20"/>
          <w:color w:val="auto"/>
        </w:rPr>
      </w:pPr>
      <w:r>
        <w:rPr>
          <w:rFonts w:ascii="Times New Roman" w:cs="Times New Roman" w:eastAsia="Times New Roman" w:hAnsi="Times New Roman"/>
          <w:sz w:val="18"/>
          <w:szCs w:val="18"/>
          <w:color w:val="auto"/>
        </w:rPr>
        <w:t>The Company periodically reevaluates the remaining reserves subject to the Commercial Auto LPT, the E&amp;S ADC, and the E&amp;S Top Up ADC, and when recognized adverse prior year development on the subject business causes the cumulative amounts ceded under the agreements to exceed the consideration paid, the agreements move into a gain position subject to retroactive reinsurance accounting under GAAP. Gains are deferred under retroactive reinsurance accounting and recognized in earnings in proportion to actual paid recoveries under the agreements using the recovery method. While the deferral of gains can introduce volatility in our results in the short-term, over the life of the contract, we would expect no economic impact to the Company as long as the counterparty performs under the contract and losses are within the limit. The impact of retroactive reinsurance accounting is not indicative of our current and ongoing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0" w:firstLine="323"/>
        <w:spacing w:after="0" w:line="280" w:lineRule="auto"/>
        <w:rPr>
          <w:sz w:val="20"/>
          <w:szCs w:val="20"/>
          <w:color w:val="auto"/>
        </w:rPr>
      </w:pPr>
      <w:r>
        <w:rPr>
          <w:rFonts w:ascii="Times New Roman" w:cs="Times New Roman" w:eastAsia="Times New Roman" w:hAnsi="Times New Roman"/>
          <w:sz w:val="18"/>
          <w:szCs w:val="18"/>
          <w:color w:val="auto"/>
        </w:rPr>
        <w:t>The following tables summarize the retroactive reinsurance accounting for the Commercial Auto LPT and the E&amp;S ADC for the years ended December 31, 2024, 2023, and 2022.</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6"/>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5"/>
        </w:trPr>
        <w:tc>
          <w:tcPr>
            <w:tcW w:w="7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Commercial Auto LPT</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beginning of period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Adverse prior year development on subject business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46,697</w:t>
            </w:r>
          </w:p>
        </w:tc>
      </w:tr>
      <w:tr>
        <w:trPr>
          <w:trHeight w:val="228"/>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Retroactive reinsurance benefits under the recovery method</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(30,955)</w:t>
            </w:r>
          </w:p>
        </w:tc>
      </w:tr>
      <w:tr>
        <w:trPr>
          <w:trHeight w:val="247"/>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7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E&amp;S ADC</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beginning of period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Adverse prior year development on subject business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Retroactive reinsurance benefits under the recovery method</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end of period</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7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beginning of period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Adverse prior year development on subject business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46,697</w:t>
            </w:r>
          </w:p>
        </w:tc>
      </w:tr>
      <w:tr>
        <w:trPr>
          <w:trHeight w:val="228"/>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Retroactive reinsurance benefits under the recovery method</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(30,955)</w:t>
            </w:r>
          </w:p>
        </w:tc>
      </w:tr>
      <w:tr>
        <w:trPr>
          <w:trHeight w:val="247"/>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w:t>
      </w:r>
    </w:p>
    <w:p>
      <w:pPr>
        <w:spacing w:after="0" w:line="119" w:lineRule="exact"/>
        <w:rPr>
          <w:sz w:val="20"/>
          <w:szCs w:val="20"/>
          <w:color w:val="auto"/>
        </w:rPr>
      </w:pPr>
    </w:p>
    <w:p>
      <w:pPr>
        <w:ind w:right="120" w:firstLine="363"/>
        <w:spacing w:after="0" w:line="280" w:lineRule="auto"/>
        <w:rPr>
          <w:sz w:val="20"/>
          <w:szCs w:val="20"/>
          <w:color w:val="auto"/>
        </w:rPr>
      </w:pPr>
      <w:r>
        <w:rPr>
          <w:rFonts w:ascii="Times New Roman" w:cs="Times New Roman" w:eastAsia="Times New Roman" w:hAnsi="Times New Roman"/>
          <w:sz w:val="18"/>
          <w:szCs w:val="18"/>
          <w:color w:val="auto"/>
        </w:rPr>
        <w:t>Insurance premiums are earned ratably over the terms of our insurance policies, generally twelve months. The following table summarizes the change in premium volume by component and business segment: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6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1,017,029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1,007,351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1.0 %</w:t>
            </w:r>
          </w:p>
        </w:tc>
        <w:tc>
          <w:tcPr>
            <w:tcW w:w="0" w:type="dxa"/>
            <w:vAlign w:val="bottom"/>
          </w:tcPr>
          <w:p>
            <w:pPr>
              <w:spacing w:after="0"/>
              <w:rPr>
                <w:sz w:val="1"/>
                <w:szCs w:val="1"/>
                <w:color w:val="auto"/>
              </w:rPr>
            </w:pPr>
          </w:p>
        </w:tc>
      </w:tr>
      <w:tr>
        <w:trPr>
          <w:trHeight w:val="228"/>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414,743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501,309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(17.3)%</w:t>
            </w:r>
          </w:p>
        </w:tc>
        <w:tc>
          <w:tcPr>
            <w:tcW w:w="0" w:type="dxa"/>
            <w:vAlign w:val="bottom"/>
          </w:tcPr>
          <w:p>
            <w:pPr>
              <w:spacing w:after="0"/>
              <w:rPr>
                <w:sz w:val="1"/>
                <w:szCs w:val="1"/>
                <w:color w:val="auto"/>
              </w:rPr>
            </w:pPr>
          </w:p>
        </w:tc>
      </w:tr>
      <w:tr>
        <w:trPr>
          <w:trHeight w:val="222"/>
        </w:trPr>
        <w:tc>
          <w:tcPr>
            <w:tcW w:w="65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1,431,772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1,508,660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(5.1)%</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Net written premiums: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508,445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589,551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(13.8)%</w:t>
            </w:r>
          </w:p>
        </w:tc>
        <w:tc>
          <w:tcPr>
            <w:tcW w:w="0" w:type="dxa"/>
            <w:vAlign w:val="bottom"/>
          </w:tcPr>
          <w:p>
            <w:pPr>
              <w:spacing w:after="0"/>
              <w:rPr>
                <w:sz w:val="1"/>
                <w:szCs w:val="1"/>
                <w:color w:val="auto"/>
              </w:rPr>
            </w:pPr>
          </w:p>
        </w:tc>
      </w:tr>
      <w:tr>
        <w:trPr>
          <w:trHeight w:val="228"/>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(30.6)%</w:t>
            </w:r>
          </w:p>
        </w:tc>
        <w:tc>
          <w:tcPr>
            <w:tcW w:w="0" w:type="dxa"/>
            <w:vAlign w:val="bottom"/>
          </w:tcPr>
          <w:p>
            <w:pPr>
              <w:spacing w:after="0"/>
              <w:rPr>
                <w:sz w:val="1"/>
                <w:szCs w:val="1"/>
                <w:color w:val="auto"/>
              </w:rPr>
            </w:pPr>
          </w:p>
        </w:tc>
      </w:tr>
      <w:tr>
        <w:trPr>
          <w:trHeight w:val="222"/>
        </w:trPr>
        <w:tc>
          <w:tcPr>
            <w:tcW w:w="65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580,854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693,901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(16.3)%</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Net earned premiums: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512,237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609,566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(16.0)%</w:t>
            </w:r>
          </w:p>
        </w:tc>
        <w:tc>
          <w:tcPr>
            <w:tcW w:w="0" w:type="dxa"/>
            <w:vAlign w:val="bottom"/>
          </w:tcPr>
          <w:p>
            <w:pPr>
              <w:spacing w:after="0"/>
              <w:rPr>
                <w:sz w:val="1"/>
                <w:szCs w:val="1"/>
                <w:color w:val="auto"/>
              </w:rPr>
            </w:pPr>
          </w:p>
        </w:tc>
      </w:tr>
      <w:tr>
        <w:trPr>
          <w:trHeight w:val="228"/>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(10.6)%</w:t>
            </w:r>
          </w:p>
        </w:tc>
        <w:tc>
          <w:tcPr>
            <w:tcW w:w="0" w:type="dxa"/>
            <w:vAlign w:val="bottom"/>
          </w:tcPr>
          <w:p>
            <w:pPr>
              <w:spacing w:after="0"/>
              <w:rPr>
                <w:sz w:val="1"/>
                <w:szCs w:val="1"/>
                <w:color w:val="auto"/>
              </w:rPr>
            </w:pPr>
          </w:p>
        </w:tc>
      </w:tr>
      <w:tr>
        <w:trPr>
          <w:trHeight w:val="222"/>
        </w:trPr>
        <w:tc>
          <w:tcPr>
            <w:tcW w:w="65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600,196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708,005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(15.2)%</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200" w:firstLine="323"/>
        <w:spacing w:after="0" w:line="256" w:lineRule="auto"/>
        <w:rPr>
          <w:sz w:val="20"/>
          <w:szCs w:val="20"/>
          <w:color w:val="auto"/>
        </w:rPr>
      </w:pPr>
      <w:r>
        <w:rPr>
          <w:rFonts w:ascii="Times New Roman" w:cs="Times New Roman" w:eastAsia="Times New Roman" w:hAnsi="Times New Roman"/>
          <w:sz w:val="18"/>
          <w:szCs w:val="18"/>
          <w:color w:val="auto"/>
        </w:rPr>
        <w:t>Gross written premiums for the Excess and Surplus Lines segment (which represents 71.0% of our consolidated gross written premiums from continuing operations in 2024) increased 1.0% from the prior year reflecting growth in our casualty underwriting divisions, partially offset by a decline in Excess Property. Amid moderating rate increases and increased competition, we are remaining selective in our Excess Property portfolio. Total policy submissions for Core E&amp;S lines (excluding commercial auto) in 2024 increased 7.5% from the prior year largely due to a 7.7% increase in new business submissions as the segment focused on growing new business with smaller account sizes. Renewal rates for the Excess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Surplus Lines segment were up 9.0% compared to 2023. The change in gross written premiums was notable in several divisions as shown below:</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8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6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Casualty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339,870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(4.4)%</w:t>
            </w:r>
          </w:p>
        </w:tc>
        <w:tc>
          <w:tcPr>
            <w:tcW w:w="0" w:type="dxa"/>
            <w:vAlign w:val="bottom"/>
          </w:tcPr>
          <w:p>
            <w:pPr>
              <w:spacing w:after="0"/>
              <w:rPr>
                <w:sz w:val="1"/>
                <w:szCs w:val="1"/>
                <w:color w:val="auto"/>
              </w:rPr>
            </w:pPr>
          </w:p>
        </w:tc>
      </w:tr>
      <w:tr>
        <w:trPr>
          <w:trHeight w:val="22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Casualty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202,861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17.1 %</w:t>
            </w:r>
          </w:p>
        </w:tc>
        <w:tc>
          <w:tcPr>
            <w:tcW w:w="0" w:type="dxa"/>
            <w:vAlign w:val="bottom"/>
          </w:tcPr>
          <w:p>
            <w:pPr>
              <w:spacing w:after="0"/>
              <w:rPr>
                <w:sz w:val="1"/>
                <w:szCs w:val="1"/>
                <w:color w:val="auto"/>
              </w:rPr>
            </w:pPr>
          </w:p>
        </w:tc>
      </w:tr>
      <w:tr>
        <w:trPr>
          <w:trHeight w:val="228"/>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Manufacturers &amp; Contractors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180,074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w:t>
            </w:r>
          </w:p>
        </w:tc>
        <w:tc>
          <w:tcPr>
            <w:tcW w:w="0" w:type="dxa"/>
            <w:vAlign w:val="bottom"/>
          </w:tcPr>
          <w:p>
            <w:pPr>
              <w:spacing w:after="0"/>
              <w:rPr>
                <w:sz w:val="1"/>
                <w:szCs w:val="1"/>
                <w:color w:val="auto"/>
              </w:rPr>
            </w:pPr>
          </w:p>
        </w:tc>
      </w:tr>
      <w:tr>
        <w:trPr>
          <w:trHeight w:val="22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Property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64,574</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(17.5)%</w:t>
            </w:r>
          </w:p>
        </w:tc>
        <w:tc>
          <w:tcPr>
            <w:tcW w:w="0" w:type="dxa"/>
            <w:vAlign w:val="bottom"/>
          </w:tcPr>
          <w:p>
            <w:pPr>
              <w:spacing w:after="0"/>
              <w:rPr>
                <w:sz w:val="1"/>
                <w:szCs w:val="1"/>
                <w:color w:val="auto"/>
              </w:rPr>
            </w:pPr>
          </w:p>
        </w:tc>
      </w:tr>
      <w:tr>
        <w:trPr>
          <w:trHeight w:val="228"/>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13,832</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45.3 %</w:t>
            </w:r>
          </w:p>
        </w:tc>
        <w:tc>
          <w:tcPr>
            <w:tcW w:w="0" w:type="dxa"/>
            <w:vAlign w:val="bottom"/>
          </w:tcPr>
          <w:p>
            <w:pPr>
              <w:spacing w:after="0"/>
              <w:rPr>
                <w:sz w:val="1"/>
                <w:szCs w:val="1"/>
                <w:color w:val="auto"/>
              </w:rPr>
            </w:pPr>
          </w:p>
        </w:tc>
      </w:tr>
      <w:tr>
        <w:trPr>
          <w:trHeight w:val="228"/>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Core E&amp;S divisions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176,761</w:t>
            </w:r>
          </w:p>
        </w:tc>
        <w:tc>
          <w:tcPr>
            <w:tcW w:w="1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0" w:type="dxa"/>
            <w:vAlign w:val="bottom"/>
          </w:tcPr>
          <w:p>
            <w:pPr>
              <w:spacing w:after="0"/>
              <w:rPr>
                <w:sz w:val="1"/>
                <w:szCs w:val="1"/>
                <w:color w:val="auto"/>
              </w:rPr>
            </w:pPr>
          </w:p>
        </w:tc>
      </w:tr>
      <w:tr>
        <w:trPr>
          <w:trHeight w:val="22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Core E&amp;S divisions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977,972</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1.1 %</w:t>
            </w:r>
          </w:p>
        </w:tc>
        <w:tc>
          <w:tcPr>
            <w:tcW w:w="0" w:type="dxa"/>
            <w:vAlign w:val="bottom"/>
          </w:tcPr>
          <w:p>
            <w:pPr>
              <w:spacing w:after="0"/>
              <w:rPr>
                <w:sz w:val="1"/>
                <w:szCs w:val="1"/>
                <w:color w:val="auto"/>
              </w:rPr>
            </w:pPr>
          </w:p>
        </w:tc>
      </w:tr>
      <w:tr>
        <w:trPr>
          <w:trHeight w:val="228"/>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Auto</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29,379</w:t>
            </w:r>
          </w:p>
        </w:tc>
        <w:tc>
          <w:tcPr>
            <w:tcW w:w="1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(5.3)%</w:t>
            </w:r>
          </w:p>
        </w:tc>
        <w:tc>
          <w:tcPr>
            <w:tcW w:w="0" w:type="dxa"/>
            <w:vAlign w:val="bottom"/>
          </w:tcPr>
          <w:p>
            <w:pPr>
              <w:spacing w:after="0"/>
              <w:rPr>
                <w:sz w:val="1"/>
                <w:szCs w:val="1"/>
                <w:color w:val="auto"/>
              </w:rPr>
            </w:pPr>
          </w:p>
        </w:tc>
      </w:tr>
      <w:tr>
        <w:trPr>
          <w:trHeight w:val="247"/>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 gross written premium</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1,007,351</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1.0 %</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right="360" w:firstLine="323"/>
        <w:spacing w:after="0" w:line="280" w:lineRule="auto"/>
        <w:rPr>
          <w:sz w:val="20"/>
          <w:szCs w:val="20"/>
          <w:color w:val="auto"/>
        </w:rPr>
      </w:pPr>
      <w:r>
        <w:rPr>
          <w:rFonts w:ascii="Times New Roman" w:cs="Times New Roman" w:eastAsia="Times New Roman" w:hAnsi="Times New Roman"/>
          <w:sz w:val="18"/>
          <w:szCs w:val="18"/>
          <w:color w:val="auto"/>
        </w:rPr>
        <w:t>The components of gross written premiums for the Specialty Admitted Insurance segment (which represents 29.0% of our 2024 consolidated gross written premiums) are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6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Fronting and program premium</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410,391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455,767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w:t>
            </w:r>
          </w:p>
        </w:tc>
        <w:tc>
          <w:tcPr>
            <w:tcW w:w="0" w:type="dxa"/>
            <w:vAlign w:val="bottom"/>
          </w:tcPr>
          <w:p>
            <w:pPr>
              <w:spacing w:after="0"/>
              <w:rPr>
                <w:sz w:val="1"/>
                <w:szCs w:val="1"/>
                <w:color w:val="auto"/>
              </w:rPr>
            </w:pPr>
          </w:p>
        </w:tc>
      </w:tr>
      <w:tr>
        <w:trPr>
          <w:trHeight w:val="228"/>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Individual risk workers’ compensation premium</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45,542</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(90.4)%</w:t>
            </w:r>
          </w:p>
        </w:tc>
        <w:tc>
          <w:tcPr>
            <w:tcW w:w="0" w:type="dxa"/>
            <w:vAlign w:val="bottom"/>
          </w:tcPr>
          <w:p>
            <w:pPr>
              <w:spacing w:after="0"/>
              <w:rPr>
                <w:sz w:val="1"/>
                <w:szCs w:val="1"/>
                <w:color w:val="auto"/>
              </w:rPr>
            </w:pPr>
          </w:p>
        </w:tc>
      </w:tr>
      <w:tr>
        <w:trPr>
          <w:trHeight w:val="247"/>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Admitted gross written premium</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414,743</w:t>
            </w: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501,309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(17.3)%</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firstLine="323"/>
        <w:spacing w:after="0" w:line="254" w:lineRule="auto"/>
        <w:rPr>
          <w:sz w:val="20"/>
          <w:szCs w:val="20"/>
          <w:color w:val="auto"/>
        </w:rPr>
      </w:pPr>
      <w:r>
        <w:rPr>
          <w:rFonts w:ascii="Times New Roman" w:cs="Times New Roman" w:eastAsia="Times New Roman" w:hAnsi="Times New Roman"/>
          <w:sz w:val="18"/>
          <w:szCs w:val="18"/>
          <w:color w:val="auto"/>
        </w:rPr>
        <w:t>Our fronting written premium decreased from the prior year driven by the June 2023 non-renewal of a large California workers' compensation program which represented $21.3 million and $96.5 million of gross written premiums for the years ended December 31, 2024 and 2023, respectively. Excluding the non-renewed program, our fronting written premium increased 8.3% over the prior year driven primarily by the continued expansion of existing fronting relationships. Our largest fronting relationship represented $175.7 million or 42.4% of segment gross written premium in 2024 compared to $163.1 million or 32.5% in 2023. The Company has received notifications of non-renewal of the programs with this agent which will decrease future written premiums over time, and result in a run-off of the account beginning July 1, 2025. Individual risk workers' compensation premium declined due to the September 2023 sale of the renewal rights to that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Retention</w:t>
      </w:r>
    </w:p>
    <w:p>
      <w:pPr>
        <w:spacing w:after="0" w:line="119" w:lineRule="exact"/>
        <w:rPr>
          <w:sz w:val="20"/>
          <w:szCs w:val="20"/>
          <w:color w:val="auto"/>
        </w:rPr>
      </w:pPr>
    </w:p>
    <w:p>
      <w:pPr>
        <w:ind w:right="240" w:firstLine="323"/>
        <w:spacing w:after="0" w:line="280" w:lineRule="auto"/>
        <w:rPr>
          <w:sz w:val="20"/>
          <w:szCs w:val="20"/>
          <w:color w:val="auto"/>
        </w:rPr>
      </w:pPr>
      <w:r>
        <w:rPr>
          <w:rFonts w:ascii="Times New Roman" w:cs="Times New Roman" w:eastAsia="Times New Roman" w:hAnsi="Times New Roman"/>
          <w:sz w:val="18"/>
          <w:szCs w:val="18"/>
          <w:color w:val="auto"/>
        </w:rPr>
        <w:t>The ratio of net written premiums to gross written premiums is referred to as our net premium retention. Our net premium retention by segment is as follows:</w:t>
      </w:r>
    </w:p>
    <w:p>
      <w:pPr>
        <w:spacing w:after="0" w:line="88"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9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58.5 %</w:t>
            </w:r>
          </w:p>
        </w:tc>
      </w:tr>
      <w:tr>
        <w:trPr>
          <w:trHeight w:val="228"/>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r>
      <w:tr>
        <w:trPr>
          <w:trHeight w:val="228"/>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46.0 %</w:t>
            </w:r>
          </w:p>
        </w:tc>
      </w:tr>
    </w:tbl>
    <w:p>
      <w:pPr>
        <w:spacing w:after="0" w:line="183" w:lineRule="exact"/>
        <w:rPr>
          <w:sz w:val="20"/>
          <w:szCs w:val="20"/>
          <w:color w:val="auto"/>
        </w:rPr>
      </w:pPr>
    </w:p>
    <w:p>
      <w:pPr>
        <w:ind w:right="280" w:firstLine="323"/>
        <w:spacing w:after="0" w:line="256" w:lineRule="auto"/>
        <w:rPr>
          <w:sz w:val="20"/>
          <w:szCs w:val="20"/>
          <w:color w:val="auto"/>
        </w:rPr>
      </w:pPr>
      <w:r>
        <w:rPr>
          <w:rFonts w:ascii="Times New Roman" w:cs="Times New Roman" w:eastAsia="Times New Roman" w:hAnsi="Times New Roman"/>
          <w:sz w:val="18"/>
          <w:szCs w:val="18"/>
          <w:color w:val="auto"/>
        </w:rPr>
        <w:t>The lower net premium retention for the Excess and Surplus Lines segment in 2024 reflects the $52.8 million of ceded premium recorded upon execution of the E&amp;S Top Up ADC in the fourth quarter of 2024 and premium adjustments associated with prior years including reinstatement premium which reduced net written premiums and the net retention ratios. The premium adjustments totaled $13.7 million and $16.4 million in the years ended December 31, 2024 and 2023, respectively. In addition, the renewal of a quota share treaty, effective July 1, 2023, increased premium cessions across all underwriting divisions other than Excess Casualty and resulted in lower retentions for the segment.</w:t>
      </w:r>
    </w:p>
    <w:p>
      <w:pPr>
        <w:spacing w:after="0" w:line="79" w:lineRule="exact"/>
        <w:rPr>
          <w:sz w:val="20"/>
          <w:szCs w:val="20"/>
          <w:color w:val="auto"/>
        </w:rPr>
      </w:pPr>
    </w:p>
    <w:p>
      <w:pPr>
        <w:ind w:right="360" w:firstLine="323"/>
        <w:spacing w:after="0" w:line="264" w:lineRule="auto"/>
        <w:rPr>
          <w:sz w:val="20"/>
          <w:szCs w:val="20"/>
          <w:color w:val="auto"/>
        </w:rPr>
      </w:pPr>
      <w:r>
        <w:rPr>
          <w:rFonts w:ascii="Times New Roman" w:cs="Times New Roman" w:eastAsia="Times New Roman" w:hAnsi="Times New Roman"/>
          <w:sz w:val="18"/>
          <w:szCs w:val="18"/>
          <w:color w:val="auto"/>
        </w:rPr>
        <w:t>The net premium retention for the Specialty Admitted Insurance segment decreased in 2024 as fronting business, where we retain a much smaller percentage, represents a greater portion of the book following the sale of the renewal rights to the individual risk workers' compensation business in the prior year third quarter. The net retention on the fronting business was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17.0% for the year ended December 31, 2024, up from 15.3% for the year ended December 31, 2023 due to the mix of business and changes in reinsurance as coverages renew.</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our combined ratios by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80" w:type="dxa"/>
            <w:vAlign w:val="bottom"/>
            <w:gridSpan w:val="5"/>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34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91.1 %</w:t>
            </w:r>
          </w:p>
        </w:tc>
        <w:tc>
          <w:tcPr>
            <w:tcW w:w="0" w:type="dxa"/>
            <w:vAlign w:val="bottom"/>
          </w:tcPr>
          <w:p>
            <w:pPr>
              <w:spacing w:after="0"/>
              <w:rPr>
                <w:sz w:val="1"/>
                <w:szCs w:val="1"/>
                <w:color w:val="auto"/>
              </w:rPr>
            </w:pPr>
          </w:p>
        </w:tc>
      </w:tr>
      <w:tr>
        <w:trPr>
          <w:trHeight w:val="22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95.9 %</w:t>
            </w:r>
          </w:p>
        </w:tc>
        <w:tc>
          <w:tcPr>
            <w:tcW w:w="0" w:type="dxa"/>
            <w:vAlign w:val="bottom"/>
          </w:tcPr>
          <w:p>
            <w:pPr>
              <w:spacing w:after="0"/>
              <w:rPr>
                <w:sz w:val="1"/>
                <w:szCs w:val="1"/>
                <w:color w:val="auto"/>
              </w:rPr>
            </w:pPr>
          </w:p>
        </w:tc>
      </w:tr>
      <w:tr>
        <w:trPr>
          <w:trHeight w:val="22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0" w:type="dxa"/>
            <w:vAlign w:val="bottom"/>
          </w:tcPr>
          <w:p>
            <w:pPr>
              <w:spacing w:after="0"/>
              <w:rPr>
                <w:sz w:val="1"/>
                <w:szCs w:val="1"/>
                <w:color w:val="auto"/>
              </w:rPr>
            </w:pPr>
          </w:p>
        </w:tc>
      </w:tr>
      <w:tr>
        <w:trPr>
          <w:trHeight w:val="417"/>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Excess and Surplus Lines Segment</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Results for the Excess and Surplus Lines segment are as follows:</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6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2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1,017,029</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1,007,351</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1.0 %</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Net written premiums</w:t>
            </w:r>
          </w:p>
        </w:tc>
        <w:tc>
          <w:tcPr>
            <w:tcW w:w="380" w:type="dxa"/>
            <w:vAlign w:val="bottom"/>
            <w:tcBorders>
              <w:top w:val="single" w:sz="8" w:color="auto"/>
              <w:bottom w:val="single" w:sz="8" w:color="auto"/>
            </w:tcBorders>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6"/>
              <w:spacing w:after="0" w:line="202" w:lineRule="exact"/>
              <w:rPr>
                <w:sz w:val="20"/>
                <w:szCs w:val="20"/>
                <w:color w:val="auto"/>
              </w:rPr>
            </w:pPr>
            <w:r>
              <w:rPr>
                <w:rFonts w:ascii="Times New Roman" w:cs="Times New Roman" w:eastAsia="Times New Roman" w:hAnsi="Times New Roman"/>
                <w:sz w:val="18"/>
                <w:szCs w:val="18"/>
                <w:color w:val="auto"/>
              </w:rPr>
              <w:t>508,445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95"/>
              <w:spacing w:after="0" w:line="202" w:lineRule="exact"/>
              <w:rPr>
                <w:sz w:val="20"/>
                <w:szCs w:val="20"/>
                <w:color w:val="auto"/>
              </w:rPr>
            </w:pPr>
            <w:r>
              <w:rPr>
                <w:rFonts w:ascii="Times New Roman" w:cs="Times New Roman" w:eastAsia="Times New Roman" w:hAnsi="Times New Roman"/>
                <w:sz w:val="18"/>
                <w:szCs w:val="18"/>
                <w:color w:val="auto"/>
              </w:rPr>
              <w:t>589,551</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i w:val="1"/>
                <w:iCs w:val="1"/>
                <w:color w:val="auto"/>
              </w:rPr>
              <w:t>(13.8)%</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512,237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609,566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(16.0)%</w:t>
            </w:r>
          </w:p>
        </w:tc>
        <w:tc>
          <w:tcPr>
            <w:tcW w:w="0" w:type="dxa"/>
            <w:vAlign w:val="bottom"/>
          </w:tcPr>
          <w:p>
            <w:pPr>
              <w:spacing w:after="0"/>
              <w:rPr>
                <w:sz w:val="1"/>
                <w:szCs w:val="1"/>
                <w:color w:val="auto"/>
              </w:rPr>
            </w:pPr>
          </w:p>
        </w:tc>
      </w:tr>
      <w:tr>
        <w:trPr>
          <w:trHeight w:val="22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80" w:type="dxa"/>
            <w:vAlign w:val="bottom"/>
          </w:tcPr>
          <w:p>
            <w:pPr>
              <w:spacing w:after="0"/>
              <w:rPr>
                <w:sz w:val="19"/>
                <w:szCs w:val="19"/>
                <w:color w:val="auto"/>
              </w:rPr>
            </w:pP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(448,714)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(420,044)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6.8 %</w:t>
            </w:r>
          </w:p>
        </w:tc>
        <w:tc>
          <w:tcPr>
            <w:tcW w:w="0" w:type="dxa"/>
            <w:vAlign w:val="bottom"/>
          </w:tcPr>
          <w:p>
            <w:pPr>
              <w:spacing w:after="0"/>
              <w:rPr>
                <w:sz w:val="1"/>
                <w:szCs w:val="1"/>
                <w:color w:val="auto"/>
              </w:rPr>
            </w:pPr>
          </w:p>
        </w:tc>
      </w:tr>
      <w:tr>
        <w:trPr>
          <w:trHeight w:val="22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(140,978)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(135,175)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4.3 %</w:t>
            </w:r>
          </w:p>
        </w:tc>
        <w:tc>
          <w:tcPr>
            <w:tcW w:w="0" w:type="dxa"/>
            <w:vAlign w:val="bottom"/>
          </w:tcPr>
          <w:p>
            <w:pPr>
              <w:spacing w:after="0"/>
              <w:rPr>
                <w:sz w:val="1"/>
                <w:szCs w:val="1"/>
                <w:color w:val="auto"/>
              </w:rPr>
            </w:pPr>
          </w:p>
        </w:tc>
      </w:tr>
      <w:tr>
        <w:trPr>
          <w:trHeight w:val="222"/>
        </w:trPr>
        <w:tc>
          <w:tcPr>
            <w:tcW w:w="6340" w:type="dxa"/>
            <w:vAlign w:val="bottom"/>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Underwriting (loss) profit </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(77,455)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54,347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Ratios:</w:t>
            </w: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r>
      <w:tr>
        <w:trPr>
          <w:trHeight w:val="22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1640" w:type="dxa"/>
            <w:vAlign w:val="bottom"/>
          </w:tcPr>
          <w:p>
            <w:pPr>
              <w:spacing w:after="0"/>
              <w:rPr>
                <w:sz w:val="19"/>
                <w:szCs w:val="19"/>
                <w:color w:val="auto"/>
              </w:rPr>
            </w:pPr>
          </w:p>
        </w:tc>
      </w:tr>
      <w:tr>
        <w:trPr>
          <w:trHeight w:val="22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ratio</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640" w:type="dxa"/>
            <w:vAlign w:val="bottom"/>
            <w:shd w:val="clear" w:color="auto" w:fill="CCEEFF"/>
          </w:tcPr>
          <w:p>
            <w:pPr>
              <w:spacing w:after="0"/>
              <w:rPr>
                <w:sz w:val="19"/>
                <w:szCs w:val="19"/>
                <w:color w:val="auto"/>
              </w:rPr>
            </w:pPr>
          </w:p>
        </w:tc>
      </w:tr>
      <w:tr>
        <w:trPr>
          <w:trHeight w:val="22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91.1 %</w:t>
            </w:r>
          </w:p>
        </w:tc>
        <w:tc>
          <w:tcPr>
            <w:tcW w:w="1640" w:type="dxa"/>
            <w:vAlign w:val="bottom"/>
          </w:tcPr>
          <w:p>
            <w:pPr>
              <w:spacing w:after="0"/>
              <w:rPr>
                <w:sz w:val="19"/>
                <w:szCs w:val="19"/>
                <w:color w:val="auto"/>
              </w:rPr>
            </w:pPr>
          </w:p>
        </w:tc>
      </w:tr>
      <w:tr>
        <w:trPr>
          <w:trHeight w:val="22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year loss ratio</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16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i w:val="1"/>
          <w:iCs w:val="1"/>
          <w:color w:val="auto"/>
        </w:rPr>
        <w:t>(1)</w:t>
      </w:r>
      <w:r>
        <w:rPr>
          <w:sz w:val="20"/>
          <w:szCs w:val="20"/>
          <w:color w:val="auto"/>
        </w:rPr>
        <w:tab/>
      </w:r>
      <w:r>
        <w:rPr>
          <w:rFonts w:ascii="Times New Roman" w:cs="Times New Roman" w:eastAsia="Times New Roman" w:hAnsi="Times New Roman"/>
          <w:sz w:val="17"/>
          <w:szCs w:val="17"/>
          <w:i w:val="1"/>
          <w:iCs w:val="1"/>
          <w:color w:val="auto"/>
        </w:rPr>
        <w:t>Underwriting (Loss) Profit is a non-GAAP Measure. See “Reconciliation of Non-GAAP Measures.”</w:t>
      </w:r>
    </w:p>
    <w:p>
      <w:pPr>
        <w:spacing w:after="0" w:line="117" w:lineRule="exact"/>
        <w:rPr>
          <w:sz w:val="20"/>
          <w:szCs w:val="20"/>
          <w:color w:val="auto"/>
        </w:rPr>
      </w:pPr>
    </w:p>
    <w:p>
      <w:pPr>
        <w:ind w:firstLine="323"/>
        <w:spacing w:after="0" w:line="254" w:lineRule="auto"/>
        <w:rPr>
          <w:sz w:val="20"/>
          <w:szCs w:val="20"/>
          <w:color w:val="auto"/>
        </w:rPr>
      </w:pPr>
      <w:r>
        <w:rPr>
          <w:rFonts w:ascii="Times New Roman" w:cs="Times New Roman" w:eastAsia="Times New Roman" w:hAnsi="Times New Roman"/>
          <w:sz w:val="18"/>
          <w:szCs w:val="18"/>
          <w:color w:val="auto"/>
        </w:rPr>
        <w:t>The Excess and Surplus Lines segment produced an underwriting loss of $77.5 million (combined ratio of 115.1%) in 2024 compared to an underwriting profit of $54.3 million (combined ratio of 91.1%) in 2023. Underwriting results for the year ended December 31, 2024 were impacted by $76.7 million or 15.0 percentage points of net adverse reserve development, including a $52.2 million reserve charge upon execution of the E&amp;S ADC (consideration paid in excess of initial reserves). The underwriting loss also reflects $52.8 million of ceded premium recorded upon execution of the E&amp;S Top Up ADC in the fourth quarter of 2024. The E&amp;S Top Up ADC ceded premium increased the segment combined ratio by 10.7 points. Underwriting results for the year ended December 31, 2023 included $32.6 million or 5.3 percentage points of net adverse reserve development in our loss estimates for prior accident years.</w:t>
      </w:r>
    </w:p>
    <w:p>
      <w:pPr>
        <w:spacing w:after="0" w:line="79" w:lineRule="exact"/>
        <w:rPr>
          <w:sz w:val="20"/>
          <w:szCs w:val="20"/>
          <w:color w:val="auto"/>
        </w:rPr>
      </w:pPr>
    </w:p>
    <w:p>
      <w:pPr>
        <w:ind w:right="100" w:firstLine="323"/>
        <w:spacing w:after="0" w:line="264" w:lineRule="auto"/>
        <w:rPr>
          <w:sz w:val="20"/>
          <w:szCs w:val="20"/>
          <w:color w:val="auto"/>
        </w:rPr>
      </w:pPr>
      <w:r>
        <w:rPr>
          <w:rFonts w:ascii="Times New Roman" w:cs="Times New Roman" w:eastAsia="Times New Roman" w:hAnsi="Times New Roman"/>
          <w:sz w:val="18"/>
          <w:szCs w:val="18"/>
          <w:color w:val="auto"/>
        </w:rPr>
        <w:t>Underwriting results for the years ended December 31, 2024 and 2023 also include $13.7 million and $16.4 million, respectively, of premium adjustments associated with prior years including reinstatement premium which reduced net written and net earned premiums, and underwriting profit. The impact of the premium adjustments was a 3.0 and 2.4 percentage point increase in the segment combined ratios in the respective years.</w:t>
      </w:r>
    </w:p>
    <w:p>
      <w:pPr>
        <w:spacing w:after="0" w:line="69" w:lineRule="exact"/>
        <w:rPr>
          <w:sz w:val="20"/>
          <w:szCs w:val="20"/>
          <w:color w:val="auto"/>
        </w:rPr>
      </w:pPr>
    </w:p>
    <w:p>
      <w:pPr>
        <w:ind w:right="140" w:firstLine="323"/>
        <w:spacing w:after="0" w:line="259" w:lineRule="auto"/>
        <w:rPr>
          <w:sz w:val="20"/>
          <w:szCs w:val="20"/>
          <w:color w:val="auto"/>
        </w:rPr>
      </w:pPr>
      <w:r>
        <w:rPr>
          <w:rFonts w:ascii="Times New Roman" w:cs="Times New Roman" w:eastAsia="Times New Roman" w:hAnsi="Times New Roman"/>
          <w:sz w:val="18"/>
          <w:szCs w:val="18"/>
          <w:color w:val="auto"/>
        </w:rPr>
        <w:t>The higher loss ratio of 87.6% for the year ended December 31, 2024 as compared to the 68.9% loss ratio for the year ended December 31, 2023 primarily reflects the higher net adverse reserve development (15.0 percentage points in 2024 compared to 5.3 percentage points in 2023), and an 8.2 point increase in 2024's ratio due to the E&amp;S Top Up ADC ceded premium. The impact of the premium adjustments was a 2.3 and 1.8 percentage point increase in the segment loss ratios in the respective years.</w:t>
      </w:r>
    </w:p>
    <w:p>
      <w:pPr>
        <w:spacing w:after="0" w:line="74" w:lineRule="exact"/>
        <w:rPr>
          <w:sz w:val="20"/>
          <w:szCs w:val="20"/>
          <w:color w:val="auto"/>
        </w:rPr>
      </w:pPr>
    </w:p>
    <w:p>
      <w:pPr>
        <w:ind w:firstLine="323"/>
        <w:spacing w:after="0" w:line="280" w:lineRule="auto"/>
        <w:rPr>
          <w:sz w:val="20"/>
          <w:szCs w:val="20"/>
          <w:color w:val="auto"/>
        </w:rPr>
      </w:pPr>
      <w:r>
        <w:rPr>
          <w:rFonts w:ascii="Times New Roman" w:cs="Times New Roman" w:eastAsia="Times New Roman" w:hAnsi="Times New Roman"/>
          <w:sz w:val="18"/>
          <w:szCs w:val="18"/>
          <w:color w:val="auto"/>
        </w:rPr>
        <w:t>The expense ratio increased from 22.2% in 2023 to 27.5% in 2024 reflecting higher compensation and bad debt expenses, and lower net earned premiums including a 2.5 point increase in the 2024 expense ratio due to the E&amp;S Top Up ADC ceded premium of $52.8 million.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Specialty Admitted Insurance Segment</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Results for the Specialty Admitted Insurance segment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414,743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501,309</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(17.3)%</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Net written premiums</w:t>
            </w:r>
          </w:p>
        </w:tc>
        <w:tc>
          <w:tcPr>
            <w:tcW w:w="360" w:type="dxa"/>
            <w:vAlign w:val="bottom"/>
            <w:tcBorders>
              <w:bottom w:val="single" w:sz="8" w:color="auto"/>
            </w:tcBorders>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6"/>
              <w:spacing w:after="0" w:line="202" w:lineRule="exact"/>
              <w:rPr>
                <w:sz w:val="20"/>
                <w:szCs w:val="20"/>
                <w:color w:val="auto"/>
              </w:rPr>
            </w:pPr>
            <w:r>
              <w:rPr>
                <w:rFonts w:ascii="Times New Roman" w:cs="Times New Roman" w:eastAsia="Times New Roman" w:hAnsi="Times New Roman"/>
                <w:sz w:val="18"/>
                <w:szCs w:val="18"/>
                <w:color w:val="auto"/>
              </w:rPr>
              <w:t>72,409</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3"/>
              <w:spacing w:after="0" w:line="202" w:lineRule="exact"/>
              <w:rPr>
                <w:sz w:val="20"/>
                <w:szCs w:val="20"/>
                <w:color w:val="auto"/>
              </w:rPr>
            </w:pPr>
            <w:r>
              <w:rPr>
                <w:rFonts w:ascii="Times New Roman" w:cs="Times New Roman" w:eastAsia="Times New Roman" w:hAnsi="Times New Roman"/>
                <w:sz w:val="18"/>
                <w:szCs w:val="18"/>
                <w:color w:val="auto"/>
              </w:rPr>
              <w:t>104,350</w:t>
            </w:r>
          </w:p>
        </w:tc>
        <w:tc>
          <w:tcPr>
            <w:tcW w:w="1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i w:val="1"/>
                <w:iCs w:val="1"/>
                <w:color w:val="auto"/>
              </w:rPr>
              <w:t>(30.6)%</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87,959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98,439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(10.6)%</w:t>
            </w:r>
          </w:p>
        </w:tc>
        <w:tc>
          <w:tcPr>
            <w:tcW w:w="0" w:type="dxa"/>
            <w:vAlign w:val="bottom"/>
          </w:tcPr>
          <w:p>
            <w:pPr>
              <w:spacing w:after="0"/>
              <w:rPr>
                <w:sz w:val="1"/>
                <w:szCs w:val="1"/>
                <w:color w:val="auto"/>
              </w:rPr>
            </w:pPr>
          </w:p>
        </w:tc>
      </w:tr>
      <w:tr>
        <w:trPr>
          <w:trHeight w:val="228"/>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60" w:type="dxa"/>
            <w:vAlign w:val="bottom"/>
          </w:tcPr>
          <w:p>
            <w:pPr>
              <w:spacing w:after="0"/>
              <w:rPr>
                <w:sz w:val="19"/>
                <w:szCs w:val="19"/>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(68,423)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(75,122)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(8.9)%</w:t>
            </w:r>
          </w:p>
        </w:tc>
        <w:tc>
          <w:tcPr>
            <w:tcW w:w="0" w:type="dxa"/>
            <w:vAlign w:val="bottom"/>
          </w:tcPr>
          <w:p>
            <w:pPr>
              <w:spacing w:after="0"/>
              <w:rPr>
                <w:sz w:val="1"/>
                <w:szCs w:val="1"/>
                <w:color w:val="auto"/>
              </w:rPr>
            </w:pPr>
          </w:p>
        </w:tc>
      </w:tr>
      <w:tr>
        <w:trPr>
          <w:trHeight w:val="228"/>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(12,663)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(19,240)</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(34.2)%</w:t>
            </w:r>
          </w:p>
        </w:tc>
        <w:tc>
          <w:tcPr>
            <w:tcW w:w="0" w:type="dxa"/>
            <w:vAlign w:val="bottom"/>
          </w:tcPr>
          <w:p>
            <w:pPr>
              <w:spacing w:after="0"/>
              <w:rPr>
                <w:sz w:val="1"/>
                <w:szCs w:val="1"/>
                <w:color w:val="auto"/>
              </w:rPr>
            </w:pPr>
          </w:p>
        </w:tc>
      </w:tr>
      <w:tr>
        <w:trPr>
          <w:trHeight w:val="222"/>
        </w:trPr>
        <w:tc>
          <w:tcPr>
            <w:tcW w:w="6380" w:type="dxa"/>
            <w:vAlign w:val="bottom"/>
          </w:tcPr>
          <w:p>
            <w:pPr>
              <w:ind w:left="20"/>
              <w:spacing w:after="0" w:line="222" w:lineRule="exact"/>
              <w:rPr>
                <w:sz w:val="20"/>
                <w:szCs w:val="20"/>
                <w:color w:val="auto"/>
              </w:rPr>
            </w:pPr>
            <w:r>
              <w:rPr>
                <w:rFonts w:ascii="Times New Roman" w:cs="Times New Roman" w:eastAsia="Times New Roman" w:hAnsi="Times New Roman"/>
                <w:sz w:val="18"/>
                <w:szCs w:val="18"/>
                <w:color w:val="auto"/>
              </w:rPr>
              <w:t>Underwriting profit</w:t>
            </w:r>
            <w:r>
              <w:rPr>
                <w:rFonts w:ascii="Times New Roman" w:cs="Times New Roman" w:eastAsia="Times New Roman" w:hAnsi="Times New Roman"/>
                <w:sz w:val="23"/>
                <w:szCs w:val="23"/>
                <w:color w:val="auto"/>
                <w:vertAlign w:val="superscript"/>
              </w:rPr>
              <w:t>(1), (2)</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6,873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4,077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68.6 %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Ratios:</w:t>
            </w: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r>
      <w:tr>
        <w:trPr>
          <w:trHeight w:val="228"/>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76.3 %</w:t>
            </w:r>
          </w:p>
        </w:tc>
        <w:tc>
          <w:tcPr>
            <w:tcW w:w="1640" w:type="dxa"/>
            <w:vAlign w:val="bottom"/>
          </w:tcPr>
          <w:p>
            <w:pPr>
              <w:spacing w:after="0"/>
              <w:rPr>
                <w:sz w:val="19"/>
                <w:szCs w:val="19"/>
                <w:color w:val="auto"/>
              </w:rPr>
            </w:pPr>
          </w:p>
        </w:tc>
      </w:tr>
      <w:tr>
        <w:trPr>
          <w:trHeight w:val="228"/>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ratio</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640" w:type="dxa"/>
            <w:vAlign w:val="bottom"/>
            <w:shd w:val="clear" w:color="auto" w:fill="CCEEFF"/>
          </w:tcPr>
          <w:p>
            <w:pPr>
              <w:spacing w:after="0"/>
              <w:rPr>
                <w:sz w:val="19"/>
                <w:szCs w:val="19"/>
                <w:color w:val="auto"/>
              </w:rPr>
            </w:pPr>
          </w:p>
        </w:tc>
      </w:tr>
      <w:tr>
        <w:trPr>
          <w:trHeight w:val="228"/>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95.9 %</w:t>
            </w:r>
          </w:p>
        </w:tc>
        <w:tc>
          <w:tcPr>
            <w:tcW w:w="1640" w:type="dxa"/>
            <w:vAlign w:val="bottom"/>
          </w:tcPr>
          <w:p>
            <w:pPr>
              <w:spacing w:after="0"/>
              <w:rPr>
                <w:sz w:val="19"/>
                <w:szCs w:val="19"/>
                <w:color w:val="auto"/>
              </w:rPr>
            </w:pPr>
          </w:p>
        </w:tc>
      </w:tr>
      <w:tr>
        <w:trPr>
          <w:trHeight w:val="228"/>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year loss ratio</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77.3 %</w:t>
            </w:r>
          </w:p>
        </w:tc>
        <w:tc>
          <w:tcPr>
            <w:tcW w:w="16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331" w:lineRule="exact"/>
        <w:rPr>
          <w:sz w:val="20"/>
          <w:szCs w:val="20"/>
          <w:color w:val="auto"/>
        </w:rPr>
      </w:pPr>
    </w:p>
    <w:p>
      <w:pPr>
        <w:ind w:left="400" w:hanging="393"/>
        <w:spacing w:after="0"/>
        <w:tabs>
          <w:tab w:leader="none" w:pos="40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Profit is a non-GAAP Measure. See “Reconciliation of Non-GAAP Measures.”</w:t>
      </w:r>
    </w:p>
    <w:p>
      <w:pPr>
        <w:spacing w:after="0" w:line="115" w:lineRule="exact"/>
        <w:rPr>
          <w:rFonts w:ascii="Times New Roman" w:cs="Times New Roman" w:eastAsia="Times New Roman" w:hAnsi="Times New Roman"/>
          <w:sz w:val="18"/>
          <w:szCs w:val="18"/>
          <w:i w:val="1"/>
          <w:iCs w:val="1"/>
          <w:color w:val="auto"/>
        </w:rPr>
      </w:pPr>
    </w:p>
    <w:p>
      <w:pPr>
        <w:ind w:left="400" w:hanging="393"/>
        <w:spacing w:after="0"/>
        <w:tabs>
          <w:tab w:leader="none" w:pos="40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profit includes fee income of $21.0 million and $24.2 million for the years ended December 31, 2024 and 2023, respectively.</w:t>
      </w:r>
    </w:p>
    <w:p>
      <w:pPr>
        <w:spacing w:after="0" w:line="117" w:lineRule="exact"/>
        <w:rPr>
          <w:sz w:val="20"/>
          <w:szCs w:val="20"/>
          <w:color w:val="auto"/>
        </w:rPr>
      </w:pPr>
    </w:p>
    <w:p>
      <w:pPr>
        <w:ind w:right="160" w:firstLine="323"/>
        <w:spacing w:after="0" w:line="280" w:lineRule="auto"/>
        <w:rPr>
          <w:sz w:val="20"/>
          <w:szCs w:val="20"/>
          <w:color w:val="auto"/>
        </w:rPr>
      </w:pPr>
      <w:r>
        <w:rPr>
          <w:rFonts w:ascii="Times New Roman" w:cs="Times New Roman" w:eastAsia="Times New Roman" w:hAnsi="Times New Roman"/>
          <w:sz w:val="18"/>
          <w:szCs w:val="18"/>
          <w:color w:val="auto"/>
        </w:rPr>
        <w:t>The Specialty Admitted Insurance segment generated underwriting profits of $6.9 million and $4.1 million (combined ratios of 92.2% and 95.9%) for the years ended December 31, 2024 and 2023, respectively.</w:t>
      </w:r>
    </w:p>
    <w:p>
      <w:pPr>
        <w:spacing w:after="0" w:line="55" w:lineRule="exact"/>
        <w:rPr>
          <w:sz w:val="20"/>
          <w:szCs w:val="20"/>
          <w:color w:val="auto"/>
        </w:rPr>
      </w:pPr>
    </w:p>
    <w:p>
      <w:pPr>
        <w:ind w:right="180" w:firstLine="323"/>
        <w:spacing w:after="0" w:line="264" w:lineRule="auto"/>
        <w:rPr>
          <w:sz w:val="20"/>
          <w:szCs w:val="20"/>
          <w:color w:val="auto"/>
        </w:rPr>
      </w:pPr>
      <w:r>
        <w:rPr>
          <w:rFonts w:ascii="Times New Roman" w:cs="Times New Roman" w:eastAsia="Times New Roman" w:hAnsi="Times New Roman"/>
          <w:sz w:val="18"/>
          <w:szCs w:val="18"/>
          <w:color w:val="auto"/>
        </w:rPr>
        <w:t>Lower written and earned premium volumes in 2024 reflect the Company's actions to reduce the workers' compensation book of business in the segment, including the non-renewal of a large California workers' compensation program and the sale of the renewal rights to the individual risk workers’ compensation business in the prior year.</w:t>
      </w:r>
    </w:p>
    <w:p>
      <w:pPr>
        <w:spacing w:after="0" w:line="69" w:lineRule="exact"/>
        <w:rPr>
          <w:sz w:val="20"/>
          <w:szCs w:val="20"/>
          <w:color w:val="auto"/>
        </w:rPr>
      </w:pPr>
    </w:p>
    <w:p>
      <w:pPr>
        <w:ind w:right="80" w:firstLine="323"/>
        <w:spacing w:after="0" w:line="259" w:lineRule="auto"/>
        <w:rPr>
          <w:sz w:val="20"/>
          <w:szCs w:val="20"/>
          <w:color w:val="auto"/>
        </w:rPr>
      </w:pPr>
      <w:r>
        <w:rPr>
          <w:rFonts w:ascii="Times New Roman" w:cs="Times New Roman" w:eastAsia="Times New Roman" w:hAnsi="Times New Roman"/>
          <w:sz w:val="18"/>
          <w:szCs w:val="18"/>
          <w:color w:val="auto"/>
        </w:rPr>
        <w:t>Net favorable development in our loss estimates for prior accident years was $607,000 and $1.0 million (0.7 and 1.0 percentage points) for the years ended December 31, 2024 and 2023, respectively. The favorable development in both 2024 and 2023 was attributable to lower than expected loss emergence in the workers’ compensation book for prior accident years. The higher current accident year loss ratio in 2024 was primarily driven by changes in the mix of business for the segment.</w:t>
      </w:r>
    </w:p>
    <w:p>
      <w:pPr>
        <w:spacing w:after="0" w:line="74" w:lineRule="exact"/>
        <w:rPr>
          <w:sz w:val="20"/>
          <w:szCs w:val="20"/>
          <w:color w:val="auto"/>
        </w:rPr>
      </w:pPr>
    </w:p>
    <w:p>
      <w:pPr>
        <w:ind w:right="80" w:firstLine="323"/>
        <w:spacing w:after="0" w:line="264" w:lineRule="auto"/>
        <w:rPr>
          <w:sz w:val="20"/>
          <w:szCs w:val="20"/>
          <w:color w:val="auto"/>
        </w:rPr>
      </w:pPr>
      <w:r>
        <w:rPr>
          <w:rFonts w:ascii="Times New Roman" w:cs="Times New Roman" w:eastAsia="Times New Roman" w:hAnsi="Times New Roman"/>
          <w:sz w:val="18"/>
          <w:szCs w:val="18"/>
          <w:color w:val="auto"/>
        </w:rPr>
        <w:t>The segment expense ratio for 2024 benefited from lower commissions driven by sliding scale and other adjustments on certain programs, as well as lower expenses for compensation and taxes, licenses, and fees following the reductions to our workers' compensation book in the prior year. The sale of the renewal rights to the individual risk workers' compensation business included the transfer of employees associated with the business.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Segment</w:t>
      </w:r>
    </w:p>
    <w:p>
      <w:pPr>
        <w:spacing w:after="0" w:line="119" w:lineRule="exact"/>
        <w:rPr>
          <w:sz w:val="20"/>
          <w:szCs w:val="20"/>
          <w:color w:val="auto"/>
        </w:rPr>
      </w:pPr>
    </w:p>
    <w:p>
      <w:pPr>
        <w:ind w:right="280" w:firstLine="323"/>
        <w:spacing w:after="0" w:line="259" w:lineRule="auto"/>
        <w:rPr>
          <w:sz w:val="20"/>
          <w:szCs w:val="20"/>
          <w:color w:val="auto"/>
        </w:rPr>
      </w:pPr>
      <w:r>
        <w:rPr>
          <w:rFonts w:ascii="Times New Roman" w:cs="Times New Roman" w:eastAsia="Times New Roman" w:hAnsi="Times New Roman"/>
          <w:sz w:val="18"/>
          <w:szCs w:val="18"/>
          <w:color w:val="auto"/>
        </w:rPr>
        <w:t>Other operating expenses for the Corporate and Other segment include personnel costs associated with the Bermuda and U.S. holding companies, professional fees, share based compensation for the full Company, and various other corporate expenses that were not reimbursed by our subsidiaries, including costs associated with rating agencies and strategic initiatives. The expenses are included in our calculation of consolidated underwriting profit, and in our consolidated expense ratio and combined ratio.</w:t>
      </w:r>
    </w:p>
    <w:p>
      <w:pPr>
        <w:spacing w:after="0" w:line="74" w:lineRule="exact"/>
        <w:rPr>
          <w:sz w:val="20"/>
          <w:szCs w:val="20"/>
          <w:color w:val="auto"/>
        </w:rPr>
      </w:pPr>
    </w:p>
    <w:p>
      <w:pPr>
        <w:ind w:right="160" w:firstLine="323"/>
        <w:spacing w:after="0" w:line="280" w:lineRule="auto"/>
        <w:rPr>
          <w:sz w:val="20"/>
          <w:szCs w:val="20"/>
          <w:color w:val="auto"/>
        </w:rPr>
      </w:pPr>
      <w:r>
        <w:rPr>
          <w:rFonts w:ascii="Times New Roman" w:cs="Times New Roman" w:eastAsia="Times New Roman" w:hAnsi="Times New Roman"/>
          <w:sz w:val="18"/>
          <w:szCs w:val="18"/>
          <w:color w:val="auto"/>
        </w:rPr>
        <w:t>Total operating expenses of the Corporate and Other segment were $35.0 million and $33.9 million for the years ended December 31, 2024 and 2023, respectively. The higher current year expenses as compared to the prior year were largely driven by higher compensation and insurance costs.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Results</w:t>
      </w:r>
    </w:p>
    <w:p>
      <w:pPr>
        <w:spacing w:after="0" w:line="119" w:lineRule="exact"/>
        <w:rPr>
          <w:sz w:val="20"/>
          <w:szCs w:val="20"/>
          <w:color w:val="auto"/>
        </w:rPr>
      </w:pPr>
    </w:p>
    <w:p>
      <w:pPr>
        <w:ind w:right="60" w:firstLine="363"/>
        <w:spacing w:after="0" w:line="259" w:lineRule="auto"/>
        <w:rPr>
          <w:sz w:val="20"/>
          <w:szCs w:val="20"/>
          <w:color w:val="auto"/>
        </w:rPr>
      </w:pPr>
      <w:r>
        <w:rPr>
          <w:rFonts w:ascii="Times New Roman" w:cs="Times New Roman" w:eastAsia="Times New Roman" w:hAnsi="Times New Roman"/>
          <w:sz w:val="18"/>
          <w:szCs w:val="18"/>
          <w:color w:val="auto"/>
        </w:rPr>
        <w:t>Net investment income was $93.1 million for the year ended December 31, 2024 compared to $84.0 million in the prior year. The Company's private investments generated income of $4.9 million and $5.0 million for the years ended December 31, 2024 and 2023, respectively. Excluding private investments, our net investment income for the year ended December 31, 2024 increased 11.7% over the prior year principally due to higher yields on cash, cash equivalents, restricted cash equivalents, and short-term investments.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Major categories of the Company’s net investment income are summarized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6"/>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48,262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49,793</w:t>
            </w:r>
          </w:p>
        </w:tc>
        <w:tc>
          <w:tcPr>
            <w:tcW w:w="0" w:type="dxa"/>
            <w:vAlign w:val="bottom"/>
          </w:tcPr>
          <w:p>
            <w:pPr>
              <w:spacing w:after="0"/>
              <w:rPr>
                <w:sz w:val="1"/>
                <w:szCs w:val="1"/>
                <w:color w:val="auto"/>
              </w:rPr>
            </w:pPr>
          </w:p>
        </w:tc>
      </w:tr>
      <w:tr>
        <w:trPr>
          <w:trHeight w:val="22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0" w:type="dxa"/>
            <w:vAlign w:val="bottom"/>
          </w:tcPr>
          <w:p>
            <w:pPr>
              <w:spacing w:after="0"/>
              <w:rPr>
                <w:sz w:val="1"/>
                <w:szCs w:val="1"/>
                <w:color w:val="auto"/>
              </w:rPr>
            </w:pPr>
          </w:p>
        </w:tc>
      </w:tr>
      <w:tr>
        <w:trPr>
          <w:trHeight w:val="228"/>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0" w:type="dxa"/>
            <w:vAlign w:val="bottom"/>
          </w:tcPr>
          <w:p>
            <w:pPr>
              <w:spacing w:after="0"/>
              <w:rPr>
                <w:sz w:val="1"/>
                <w:szCs w:val="1"/>
                <w:color w:val="auto"/>
              </w:rPr>
            </w:pPr>
          </w:p>
        </w:tc>
      </w:tr>
      <w:tr>
        <w:trPr>
          <w:trHeight w:val="22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invested assets: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Renewable energy investments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28"/>
        </w:trPr>
        <w:tc>
          <w:tcPr>
            <w:tcW w:w="82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private investments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0" w:type="dxa"/>
            <w:vAlign w:val="bottom"/>
          </w:tcPr>
          <w:p>
            <w:pPr>
              <w:spacing w:after="0"/>
              <w:rPr>
                <w:sz w:val="1"/>
                <w:szCs w:val="1"/>
                <w:color w:val="auto"/>
              </w:rPr>
            </w:pPr>
          </w:p>
        </w:tc>
      </w:tr>
      <w:tr>
        <w:trPr>
          <w:trHeight w:val="222"/>
        </w:trPr>
        <w:tc>
          <w:tcPr>
            <w:tcW w:w="7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0" w:type="dxa"/>
            <w:vAlign w:val="bottom"/>
          </w:tcPr>
          <w:p>
            <w:pPr>
              <w:spacing w:after="0"/>
              <w:rPr>
                <w:sz w:val="1"/>
                <w:szCs w:val="1"/>
                <w:color w:val="auto"/>
              </w:rPr>
            </w:pPr>
          </w:p>
        </w:tc>
      </w:tr>
      <w:tr>
        <w:trPr>
          <w:trHeight w:val="228"/>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restricted cash equivalents, and short-term investments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19,249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13,703</w:t>
            </w:r>
          </w:p>
        </w:tc>
        <w:tc>
          <w:tcPr>
            <w:tcW w:w="0" w:type="dxa"/>
            <w:vAlign w:val="bottom"/>
          </w:tcPr>
          <w:p>
            <w:pPr>
              <w:spacing w:after="0"/>
              <w:rPr>
                <w:sz w:val="1"/>
                <w:szCs w:val="1"/>
                <w:color w:val="auto"/>
              </w:rPr>
            </w:pPr>
          </w:p>
        </w:tc>
      </w:tr>
      <w:tr>
        <w:trPr>
          <w:trHeight w:val="222"/>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96,782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87,077</w:t>
            </w:r>
          </w:p>
        </w:tc>
        <w:tc>
          <w:tcPr>
            <w:tcW w:w="0" w:type="dxa"/>
            <w:vAlign w:val="bottom"/>
          </w:tcPr>
          <w:p>
            <w:pPr>
              <w:spacing w:after="0"/>
              <w:rPr>
                <w:sz w:val="1"/>
                <w:szCs w:val="1"/>
                <w:color w:val="auto"/>
              </w:rPr>
            </w:pPr>
          </w:p>
        </w:tc>
      </w:tr>
      <w:tr>
        <w:trPr>
          <w:trHeight w:val="228"/>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color w:val="auto"/>
                <w:w w:val="98"/>
              </w:rPr>
              <w:t>(3,693)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0" w:type="dxa"/>
            <w:vAlign w:val="bottom"/>
          </w:tcPr>
          <w:p>
            <w:pPr>
              <w:spacing w:after="0"/>
              <w:rPr>
                <w:sz w:val="1"/>
                <w:szCs w:val="1"/>
                <w:color w:val="auto"/>
              </w:rPr>
            </w:pPr>
          </w:p>
        </w:tc>
      </w:tr>
      <w:tr>
        <w:trPr>
          <w:trHeight w:val="247"/>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93,089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investment returns: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82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7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gross investment yield on:</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Average cash and invested assets</w:t>
            </w:r>
          </w:p>
        </w:tc>
        <w:tc>
          <w:tcPr>
            <w:tcW w:w="240" w:type="dxa"/>
            <w:vAlign w:val="bottom"/>
          </w:tcPr>
          <w:p>
            <w:pPr>
              <w:spacing w:after="0"/>
              <w:rPr>
                <w:sz w:val="19"/>
                <w:szCs w:val="19"/>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4.8 %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28"/>
        </w:trPr>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Average fixed maturity securities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4.5 %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20" w:firstLine="363"/>
        <w:spacing w:after="0" w:line="256" w:lineRule="auto"/>
        <w:rPr>
          <w:sz w:val="20"/>
          <w:szCs w:val="20"/>
          <w:color w:val="auto"/>
        </w:rPr>
      </w:pPr>
      <w:r>
        <w:rPr>
          <w:rFonts w:ascii="Times New Roman" w:cs="Times New Roman" w:eastAsia="Times New Roman" w:hAnsi="Times New Roman"/>
          <w:sz w:val="18"/>
          <w:szCs w:val="18"/>
          <w:color w:val="auto"/>
        </w:rPr>
        <w:t>Of our total cash and invested assets of $1,914.7 million at December 31, 2024 (excluding restricted cash equivalents), $362.3 million represents the cash and cash equivalents portion of the portfolio. The majority of the portfolio, or $1,189.7 million, is comprised of fixed maturity securities that are classified as available-for-sale and carried at fair value with unrealized gains and losses on these securities reported, net of applicable taxes, as a separate component of accumulated comprehensive income or loss. Also included in our investments are $142.4 million of bank loan participations, $86.5 million of equity securities, $97.1 million of short-term investments, and $36.7 million of other invested assets.</w:t>
      </w:r>
    </w:p>
    <w:p>
      <w:pPr>
        <w:spacing w:after="0" w:line="79" w:lineRule="exact"/>
        <w:rPr>
          <w:sz w:val="20"/>
          <w:szCs w:val="20"/>
          <w:color w:val="auto"/>
        </w:rPr>
      </w:pPr>
    </w:p>
    <w:p>
      <w:pPr>
        <w:ind w:right="40" w:firstLine="323"/>
        <w:spacing w:after="0" w:line="253" w:lineRule="auto"/>
        <w:rPr>
          <w:sz w:val="20"/>
          <w:szCs w:val="20"/>
          <w:color w:val="auto"/>
        </w:rPr>
      </w:pPr>
      <w:r>
        <w:rPr>
          <w:rFonts w:ascii="Times New Roman" w:cs="Times New Roman" w:eastAsia="Times New Roman" w:hAnsi="Times New Roman"/>
          <w:sz w:val="18"/>
          <w:szCs w:val="18"/>
          <w:color w:val="auto"/>
        </w:rPr>
        <w:t xml:space="preserve">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facilities, and similar loans and investments. </w:t>
      </w:r>
      <w:r>
        <w:rPr>
          <w:rFonts w:ascii="Times New Roman" w:cs="Times New Roman" w:eastAsia="Times New Roman" w:hAnsi="Times New Roman"/>
          <w:sz w:val="18"/>
          <w:szCs w:val="18"/>
          <w:color w:val="231F20"/>
        </w:rPr>
        <w:t>Bank loan participations are measured at fair value pursuant to the Company's election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the fair value option, and changes in unrealized gains and losses in bank loan participations are reported in our income statement as net realized and unrealized gains (losses) on investments. </w:t>
      </w:r>
      <w:r>
        <w:rPr>
          <w:rFonts w:ascii="Times New Roman" w:cs="Times New Roman" w:eastAsia="Times New Roman" w:hAnsi="Times New Roman"/>
          <w:sz w:val="18"/>
          <w:szCs w:val="18"/>
          <w:color w:val="000000"/>
        </w:rPr>
        <w:t>At December 31, 2024 and 2023, the fair value of these securities was $142.4 million (aggregate unpaid principal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balance of $149.4 million) and $156.2 million (aggregate unpaid principal balance of $164.3 million), respectively.</w:t>
      </w:r>
    </w:p>
    <w:p>
      <w:pPr>
        <w:spacing w:after="0" w:line="82" w:lineRule="exact"/>
        <w:rPr>
          <w:sz w:val="20"/>
          <w:szCs w:val="20"/>
          <w:color w:val="auto"/>
        </w:rPr>
      </w:pPr>
    </w:p>
    <w:p>
      <w:pPr>
        <w:ind w:right="140" w:firstLine="363"/>
        <w:spacing w:after="0" w:line="255" w:lineRule="auto"/>
        <w:rPr>
          <w:sz w:val="20"/>
          <w:szCs w:val="20"/>
          <w:color w:val="auto"/>
        </w:rPr>
      </w:pPr>
      <w:r>
        <w:rPr>
          <w:rFonts w:ascii="Times New Roman" w:cs="Times New Roman" w:eastAsia="Times New Roman" w:hAnsi="Times New Roman"/>
          <w:sz w:val="18"/>
          <w:szCs w:val="18"/>
          <w:color w:val="auto"/>
        </w:rPr>
        <w:t>The Company invests selectively in private debt and equity opportunities. These investments comprise the Company’s other invested assets and are primarily focused in renewable energy, limited partnerships, and notes receivable for structured private specialty credit. Equity interests in various renewable energy LLCs generated investment income of $1.7 million and $2.9 million for the years ended December 31, 2024 and 2023, respectively. The Company’s former Non-Executive Chairman invested in certain of these LLCs. During the fourth quarter of 2022, the underlying projects in two of our LLCs were sold at the manager's discretion. We received proceeds of $2.0 million and $3.6 million from these sales during the years ended December 31, 2024 and 2023. The remaining investments had a carrying value of $7.7 million at December 31, 2024.</w:t>
      </w:r>
    </w:p>
    <w:p>
      <w:pPr>
        <w:spacing w:after="0" w:line="78" w:lineRule="exact"/>
        <w:rPr>
          <w:sz w:val="20"/>
          <w:szCs w:val="20"/>
          <w:color w:val="auto"/>
        </w:rPr>
      </w:pPr>
    </w:p>
    <w:p>
      <w:pPr>
        <w:ind w:right="80" w:firstLine="363"/>
        <w:spacing w:after="0" w:line="256" w:lineRule="auto"/>
        <w:rPr>
          <w:sz w:val="20"/>
          <w:szCs w:val="20"/>
          <w:color w:val="auto"/>
        </w:rPr>
      </w:pPr>
      <w:r>
        <w:rPr>
          <w:rFonts w:ascii="Times New Roman" w:cs="Times New Roman" w:eastAsia="Times New Roman" w:hAnsi="Times New Roman"/>
          <w:sz w:val="18"/>
          <w:szCs w:val="18"/>
          <w:color w:val="auto"/>
        </w:rPr>
        <w:t>Investments in loans for renewable energy projects had investment income of $138,000 and $244,000 for the years ended December 31, 2024 and 2023, respectively. During 2024, the Company received the remaining principal of $1.4 million on the notes receivable. The Company owns investments in limited partnerships that invest in concentrated portfolios including publicly-traded small cap equities, loans of middle market private equity sponsored companies, private equity general partnership interests, commercial mortgage-backed securities, specialty private credit, and tranches of distressed home loans. Investment income from these partnerships was $2.4 million and $1.6 million for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respectively . Together, these limited partnerships had a carrying value of $15.1 million at December 31, 2024. Income from the Company’s investments in renewable energy LLCs and limited partnerships is recognized under the equity method of accounting. At December 31, 2024, the Company held $13.9 million in two notes receivable for structured private credit. Previously, the Company held $4.5 million of subordinated notes issued by a bank holding company that matured on August 12, 2023. The Company’s former Non-Executive Chairman was previously the Lead Independent Director of the bank holding company and an investor in the bank holding company. Interest income from both notes was $584,000 and $340,000 for the years ended December 31, 2024 and 2023, respectively.</w:t>
      </w:r>
    </w:p>
    <w:p>
      <w:pPr>
        <w:spacing w:after="0" w:line="78" w:lineRule="exact"/>
        <w:rPr>
          <w:sz w:val="20"/>
          <w:szCs w:val="20"/>
          <w:color w:val="auto"/>
        </w:rPr>
      </w:pPr>
    </w:p>
    <w:p>
      <w:pPr>
        <w:ind w:right="80" w:firstLine="363"/>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the Company recognized net realized and unrealized investment gains of $3.6 million, including $1.1 million of net realized investment losses on the sale of fixed maturity securities, $3.2 million of net realized investment losses on the sale of bank loans securities, $9.6 million of net realized investment gains on the sale of equity securities, $620,000 of losses for the change in fair value of bank loans, $873,000 of losses for the change in fair value of equity securities, and an impairment loss of $207,000 for one fixed maturity security due to the Company's inability to hold the security until a recovery in its value to the amortized cost basis.</w:t>
      </w:r>
    </w:p>
    <w:p>
      <w:pPr>
        <w:spacing w:after="0" w:line="79" w:lineRule="exact"/>
        <w:rPr>
          <w:sz w:val="20"/>
          <w:szCs w:val="20"/>
          <w:color w:val="auto"/>
        </w:rPr>
      </w:pPr>
    </w:p>
    <w:p>
      <w:pPr>
        <w:ind w:firstLine="363"/>
        <w:spacing w:after="0" w:line="259" w:lineRule="auto"/>
        <w:rPr>
          <w:sz w:val="20"/>
          <w:szCs w:val="20"/>
          <w:color w:val="auto"/>
        </w:rPr>
      </w:pPr>
      <w:r>
        <w:rPr>
          <w:rFonts w:ascii="Times New Roman" w:cs="Times New Roman" w:eastAsia="Times New Roman" w:hAnsi="Times New Roman"/>
          <w:sz w:val="18"/>
          <w:szCs w:val="18"/>
          <w:color w:val="auto"/>
        </w:rPr>
        <w:t>For the year ended December 31, 2023, the Company recognized net realized and unrealized investment gains of $10.4 million, including $339,000 of net realized investment losses on the sale of fixed maturity securities, $3.5 million of net realized investment losses on the sale of bank loans, $1.5 million of net realized investment gains on the sale of equity securities, $9.0 million of gains for the change in fair value of bank loans, and $3.7 million of gains for the change in fair value of equity securities.</w:t>
      </w:r>
    </w:p>
    <w:p>
      <w:pPr>
        <w:spacing w:after="0" w:line="74" w:lineRule="exact"/>
        <w:rPr>
          <w:sz w:val="20"/>
          <w:szCs w:val="20"/>
          <w:color w:val="auto"/>
        </w:rPr>
      </w:pPr>
    </w:p>
    <w:p>
      <w:pPr>
        <w:ind w:right="540" w:firstLine="363"/>
        <w:spacing w:after="0" w:line="280" w:lineRule="auto"/>
        <w:rPr>
          <w:sz w:val="20"/>
          <w:szCs w:val="20"/>
          <w:color w:val="auto"/>
        </w:rPr>
      </w:pPr>
      <w:r>
        <w:rPr>
          <w:rFonts w:ascii="Times New Roman" w:cs="Times New Roman" w:eastAsia="Times New Roman" w:hAnsi="Times New Roman"/>
          <w:sz w:val="18"/>
          <w:szCs w:val="18"/>
          <w:color w:val="auto"/>
        </w:rPr>
        <w:t>In conjunction with its outside investment managers, the Company performs quarterly reviews of all securities within its investment portfolio to determine whether any impairment has occurred.</w:t>
      </w:r>
    </w:p>
    <w:p>
      <w:pPr>
        <w:spacing w:after="0" w:line="55" w:lineRule="exact"/>
        <w:rPr>
          <w:sz w:val="20"/>
          <w:szCs w:val="20"/>
          <w:color w:val="auto"/>
        </w:rPr>
      </w:pPr>
    </w:p>
    <w:p>
      <w:pPr>
        <w:ind w:right="20" w:firstLine="363"/>
        <w:spacing w:after="0" w:line="256" w:lineRule="auto"/>
        <w:rPr>
          <w:sz w:val="20"/>
          <w:szCs w:val="20"/>
          <w:color w:val="auto"/>
        </w:rPr>
      </w:pPr>
      <w:r>
        <w:rPr>
          <w:rFonts w:ascii="Times New Roman" w:cs="Times New Roman" w:eastAsia="Times New Roman" w:hAnsi="Times New Roman"/>
          <w:sz w:val="18"/>
          <w:szCs w:val="18"/>
          <w:color w:val="auto"/>
        </w:rPr>
        <w:t>Management concluded that none of the fixed maturity securities with an unrealized loss at December 31, 2024 or 2023 experienced an other-than-temporary credit related impairment. During the year ended December 31, 2024, management recognized an impairment loss of $207,000 for one fixed maturity security due to the Company's inability to hold the security until a recovery in its value to the amortized cost basis. For the remainder of securities in an unrealized loss position, management does not intend to sell the securities and it is not "more likely than not" that the Company will be required to sell these securities before a recovery in their value to their amortized cost basis occurs.</w:t>
      </w:r>
    </w:p>
    <w:p>
      <w:pPr>
        <w:spacing w:after="0" w:line="79" w:lineRule="exact"/>
        <w:rPr>
          <w:sz w:val="20"/>
          <w:szCs w:val="20"/>
          <w:color w:val="auto"/>
        </w:rPr>
      </w:pPr>
    </w:p>
    <w:p>
      <w:pPr>
        <w:ind w:right="120" w:firstLine="363"/>
        <w:spacing w:after="0" w:line="259" w:lineRule="auto"/>
        <w:rPr>
          <w:sz w:val="20"/>
          <w:szCs w:val="20"/>
          <w:color w:val="auto"/>
        </w:rPr>
      </w:pPr>
      <w:r>
        <w:rPr>
          <w:rFonts w:ascii="Times New Roman" w:cs="Times New Roman" w:eastAsia="Times New Roman" w:hAnsi="Times New Roman"/>
          <w:sz w:val="18"/>
          <w:szCs w:val="18"/>
          <w:color w:val="auto"/>
        </w:rPr>
        <w:t>At December 31, 2024, our available-for-sale fixed maturity securities had net unrealized losses of $88.6 million representing 6.9% of the amortized cost of the portfolio. Additionally, at December 31, 2024, 100.0% of our fixed maturity security portfolio was rated “BBB-” or better (“investment grade”) by Standard &amp; Poor’s or had an equivalent rating from another nationally recognized statistical rating organization. The average duration of our invested assets and cash, excluding restricted cash, was 3.4 years at December 31, 2024.</w:t>
      </w:r>
    </w:p>
    <w:p>
      <w:pPr>
        <w:spacing w:after="0" w:line="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amortized cost and fair value of our available-for-sale fixed maturity securities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0" w:lineRule="exact"/>
              <w:rPr>
                <w:sz w:val="20"/>
                <w:szCs w:val="20"/>
                <w:color w:val="auto"/>
              </w:rPr>
            </w:pPr>
            <w:r>
              <w:rPr>
                <w:rFonts w:ascii="Times New Roman" w:cs="Times New Roman" w:eastAsia="Times New Roman" w:hAnsi="Times New Roman"/>
                <w:sz w:val="14"/>
                <w:szCs w:val="14"/>
                <w:b w:val="1"/>
                <w:bCs w:val="1"/>
                <w:color w:val="auto"/>
              </w:rPr>
              <w:t>Cost or</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0" w:lineRule="exact"/>
              <w:rPr>
                <w:sz w:val="20"/>
                <w:szCs w:val="20"/>
                <w:color w:val="auto"/>
              </w:rPr>
            </w:pPr>
            <w:r>
              <w:rPr>
                <w:rFonts w:ascii="Times New Roman" w:cs="Times New Roman" w:eastAsia="Times New Roman" w:hAnsi="Times New Roman"/>
                <w:sz w:val="14"/>
                <w:szCs w:val="14"/>
                <w:b w:val="1"/>
                <w:bCs w:val="1"/>
                <w:color w:val="auto"/>
              </w:rPr>
              <w:t>Cost or</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6"/>
        </w:trPr>
        <w:tc>
          <w:tcPr>
            <w:tcW w:w="3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13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12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 available-for-sale:</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municipal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223,009</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196,564</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16.5 %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273,462</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248,837</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18.8 %</w:t>
            </w: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mortgage-backed</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352,064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326,227</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27.4 %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317,928</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24.0 %</w:t>
            </w:r>
          </w:p>
        </w:tc>
        <w:tc>
          <w:tcPr>
            <w:tcW w:w="0" w:type="dxa"/>
            <w:vAlign w:val="bottom"/>
          </w:tcPr>
          <w:p>
            <w:pPr>
              <w:spacing w:after="0"/>
              <w:rPr>
                <w:sz w:val="1"/>
                <w:szCs w:val="1"/>
                <w:color w:val="auto"/>
              </w:rPr>
            </w:pPr>
          </w:p>
        </w:tc>
      </w:tr>
      <w:tr>
        <w:trPr>
          <w:trHeight w:val="213"/>
        </w:trPr>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18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503,610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475,485</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40.0 %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530,408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505,728</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38.2 %</w:t>
            </w: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mortgage and asset-backed</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178,238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170,458</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14.3 %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222,853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16.8 %</w:t>
            </w:r>
          </w:p>
        </w:tc>
        <w:tc>
          <w:tcPr>
            <w:tcW w:w="0" w:type="dxa"/>
            <w:vAlign w:val="bottom"/>
          </w:tcPr>
          <w:p>
            <w:pPr>
              <w:spacing w:after="0"/>
              <w:rPr>
                <w:sz w:val="1"/>
                <w:szCs w:val="1"/>
                <w:color w:val="auto"/>
              </w:rPr>
            </w:pPr>
          </w:p>
        </w:tc>
      </w:tr>
      <w:tr>
        <w:trPr>
          <w:trHeight w:val="161"/>
        </w:trPr>
        <w:tc>
          <w:tcPr>
            <w:tcW w:w="3520" w:type="dxa"/>
            <w:vAlign w:val="bottom"/>
          </w:tcPr>
          <w:p>
            <w:pPr>
              <w:ind w:left="140"/>
              <w:spacing w:after="0" w:line="161" w:lineRule="exact"/>
              <w:rPr>
                <w:sz w:val="20"/>
                <w:szCs w:val="20"/>
                <w:color w:val="auto"/>
              </w:rPr>
            </w:pPr>
            <w:r>
              <w:rPr>
                <w:rFonts w:ascii="Times New Roman" w:cs="Times New Roman" w:eastAsia="Times New Roman" w:hAnsi="Times New Roman"/>
                <w:sz w:val="16"/>
                <w:szCs w:val="16"/>
                <w:color w:val="auto"/>
              </w:rPr>
              <w:t>U.S. Treasury securities and obligations guaranteed</w:t>
            </w:r>
          </w:p>
        </w:tc>
        <w:tc>
          <w:tcPr>
            <w:tcW w:w="180" w:type="dxa"/>
            <w:vAlign w:val="bottom"/>
          </w:tcPr>
          <w:p>
            <w:pPr>
              <w:spacing w:after="0"/>
              <w:rPr>
                <w:sz w:val="14"/>
                <w:szCs w:val="14"/>
                <w:color w:val="auto"/>
              </w:rPr>
            </w:pPr>
          </w:p>
        </w:tc>
        <w:tc>
          <w:tcPr>
            <w:tcW w:w="10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21,416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20,999</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rPr>
              <w:t>1.8 %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29,900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29,130</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rPr>
              <w:t>2.2 %</w:t>
            </w:r>
          </w:p>
        </w:tc>
        <w:tc>
          <w:tcPr>
            <w:tcW w:w="0" w:type="dxa"/>
            <w:vAlign w:val="bottom"/>
          </w:tcPr>
          <w:p>
            <w:pPr>
              <w:spacing w:after="0"/>
              <w:rPr>
                <w:sz w:val="1"/>
                <w:szCs w:val="1"/>
                <w:color w:val="auto"/>
              </w:rPr>
            </w:pPr>
          </w:p>
        </w:tc>
      </w:tr>
      <w:tr>
        <w:trPr>
          <w:trHeight w:val="212"/>
        </w:trPr>
        <w:tc>
          <w:tcPr>
            <w:tcW w:w="35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by the U.S. government</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fixed maturity securities, available-for-sale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1,278,337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1,189,733</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1,405,136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1,324,476</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100.0 %</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composition of the Company’s portfolio of fixed maturity securities by rating as of December 31,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Standard &amp; Poor’s or Equivalent Designation</w:t>
            </w: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5"/>
        </w:trPr>
        <w:tc>
          <w:tcPr>
            <w:tcW w:w="8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r>
      <w:tr>
        <w:trPr>
          <w:trHeight w:val="189"/>
        </w:trPr>
        <w:tc>
          <w:tcPr>
            <w:tcW w:w="8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3"/>
          </w:tcPr>
          <w:p>
            <w:pPr>
              <w:jc w:val="right"/>
              <w:ind w:right="941"/>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r>
      <w:tr>
        <w:trPr>
          <w:trHeight w:val="23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230,065</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19.4 %</w:t>
            </w:r>
          </w:p>
        </w:tc>
      </w:tr>
      <w:tr>
        <w:trPr>
          <w:trHeight w:val="22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491,953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41.3 %</w:t>
            </w:r>
          </w:p>
        </w:tc>
      </w:tr>
      <w:tr>
        <w:trPr>
          <w:trHeight w:val="228"/>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335,313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28.2 %</w:t>
            </w:r>
          </w:p>
        </w:tc>
      </w:tr>
      <w:tr>
        <w:trPr>
          <w:trHeight w:val="22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BBB</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132,402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11.1 %</w:t>
            </w:r>
          </w:p>
        </w:tc>
      </w:tr>
      <w:tr>
        <w:trPr>
          <w:trHeight w:val="228"/>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 BBB and unrated</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22"/>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1,189,733</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8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260" w:firstLine="363"/>
        <w:spacing w:after="0" w:line="280" w:lineRule="auto"/>
        <w:rPr>
          <w:sz w:val="20"/>
          <w:szCs w:val="20"/>
          <w:color w:val="auto"/>
        </w:rPr>
      </w:pPr>
      <w:r>
        <w:rPr>
          <w:rFonts w:ascii="Times New Roman" w:cs="Times New Roman" w:eastAsia="Times New Roman" w:hAnsi="Times New Roman"/>
          <w:sz w:val="18"/>
          <w:szCs w:val="18"/>
          <w:color w:val="auto"/>
        </w:rPr>
        <w:t>At December 31, 2024, our portfolio of available-for-sale fixed maturity securities contained corporate fixed maturity securities with a fair value of $475.5 million. A summary of these securities by industry segment is shown below as of December 31,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5"/>
        </w:trPr>
        <w:tc>
          <w:tcPr>
            <w:tcW w:w="8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r>
      <w:tr>
        <w:trPr>
          <w:trHeight w:val="189"/>
        </w:trPr>
        <w:tc>
          <w:tcPr>
            <w:tcW w:w="8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3"/>
          </w:tcPr>
          <w:p>
            <w:pPr>
              <w:jc w:val="right"/>
              <w:ind w:right="933"/>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r>
      <w:tr>
        <w:trPr>
          <w:trHeight w:val="234"/>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 and other</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81,563</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22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Discretionary</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28"/>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190,027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2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Health Care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8"/>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Staples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28"/>
        </w:trPr>
        <w:tc>
          <w:tcPr>
            <w:tcW w:w="8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91,292</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19.2 %</w:t>
            </w:r>
          </w:p>
        </w:tc>
      </w:tr>
      <w:tr>
        <w:trPr>
          <w:trHeight w:val="247"/>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475,485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firstLine="363"/>
        <w:spacing w:after="0" w:line="280" w:lineRule="auto"/>
        <w:rPr>
          <w:sz w:val="20"/>
          <w:szCs w:val="20"/>
          <w:color w:val="auto"/>
        </w:rPr>
      </w:pPr>
      <w:r>
        <w:rPr>
          <w:rFonts w:ascii="Times New Roman" w:cs="Times New Roman" w:eastAsia="Times New Roman" w:hAnsi="Times New Roman"/>
          <w:sz w:val="18"/>
          <w:szCs w:val="18"/>
          <w:color w:val="auto"/>
        </w:rPr>
        <w:t>Corporate available-for-sale fixed maturity securities include publicly traded securities and privately placed bonds as shown below as of December 31,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Public/Private</w:t>
            </w: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5"/>
        </w:trPr>
        <w:tc>
          <w:tcPr>
            <w:tcW w:w="8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r>
      <w:tr>
        <w:trPr>
          <w:trHeight w:val="189"/>
        </w:trPr>
        <w:tc>
          <w:tcPr>
            <w:tcW w:w="8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3"/>
          </w:tcPr>
          <w:p>
            <w:pPr>
              <w:jc w:val="right"/>
              <w:ind w:right="935"/>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r>
      <w:tr>
        <w:trPr>
          <w:trHeight w:val="234"/>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Publicly traded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437,936</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92.1 %</w:t>
            </w:r>
          </w:p>
        </w:tc>
      </w:tr>
      <w:tr>
        <w:trPr>
          <w:trHeight w:val="228"/>
        </w:trPr>
        <w:tc>
          <w:tcPr>
            <w:tcW w:w="8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Privately placed</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37,549</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47"/>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475,485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amortized cost and fair value of our available-for-sale investments in fixed maturity securities summarized by contractual maturity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6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320"/>
              <w:spacing w:after="0" w:line="130"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1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20" w:type="dxa"/>
            <w:vAlign w:val="bottom"/>
          </w:tcPr>
          <w:p>
            <w:pPr>
              <w:jc w:val="right"/>
              <w:ind w:right="354"/>
              <w:spacing w:after="0" w:line="130"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3"/>
        </w:trPr>
        <w:tc>
          <w:tcPr>
            <w:tcW w:w="6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5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6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One year or less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2.0 %</w:t>
            </w:r>
          </w:p>
        </w:tc>
        <w:tc>
          <w:tcPr>
            <w:tcW w:w="0" w:type="dxa"/>
            <w:vAlign w:val="bottom"/>
          </w:tcPr>
          <w:p>
            <w:pPr>
              <w:spacing w:after="0"/>
              <w:rPr>
                <w:sz w:val="1"/>
                <w:szCs w:val="1"/>
                <w:color w:val="auto"/>
              </w:rPr>
            </w:pPr>
          </w:p>
        </w:tc>
      </w:tr>
      <w:tr>
        <w:trPr>
          <w:trHeight w:val="228"/>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318,588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26.8 %</w:t>
            </w:r>
          </w:p>
        </w:tc>
        <w:tc>
          <w:tcPr>
            <w:tcW w:w="0" w:type="dxa"/>
            <w:vAlign w:val="bottom"/>
          </w:tcPr>
          <w:p>
            <w:pPr>
              <w:spacing w:after="0"/>
              <w:rPr>
                <w:sz w:val="1"/>
                <w:szCs w:val="1"/>
                <w:color w:val="auto"/>
              </w:rPr>
            </w:pPr>
          </w:p>
        </w:tc>
      </w:tr>
      <w:tr>
        <w:trPr>
          <w:trHeight w:val="228"/>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227,714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19.1 %</w:t>
            </w:r>
          </w:p>
        </w:tc>
        <w:tc>
          <w:tcPr>
            <w:tcW w:w="0" w:type="dxa"/>
            <w:vAlign w:val="bottom"/>
          </w:tcPr>
          <w:p>
            <w:pPr>
              <w:spacing w:after="0"/>
              <w:rPr>
                <w:sz w:val="1"/>
                <w:szCs w:val="1"/>
                <w:color w:val="auto"/>
              </w:rPr>
            </w:pPr>
          </w:p>
        </w:tc>
      </w:tr>
      <w:tr>
        <w:trPr>
          <w:trHeight w:val="228"/>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After ten years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146,342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123,396</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10.4 %</w:t>
            </w:r>
          </w:p>
        </w:tc>
        <w:tc>
          <w:tcPr>
            <w:tcW w:w="0" w:type="dxa"/>
            <w:vAlign w:val="bottom"/>
          </w:tcPr>
          <w:p>
            <w:pPr>
              <w:spacing w:after="0"/>
              <w:rPr>
                <w:sz w:val="1"/>
                <w:szCs w:val="1"/>
                <w:color w:val="auto"/>
              </w:rPr>
            </w:pPr>
          </w:p>
        </w:tc>
      </w:tr>
      <w:tr>
        <w:trPr>
          <w:trHeight w:val="222"/>
        </w:trPr>
        <w:tc>
          <w:tcPr>
            <w:tcW w:w="6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693,048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58.3 %</w:t>
            </w:r>
          </w:p>
        </w:tc>
        <w:tc>
          <w:tcPr>
            <w:tcW w:w="0" w:type="dxa"/>
            <w:vAlign w:val="bottom"/>
          </w:tcPr>
          <w:p>
            <w:pPr>
              <w:spacing w:after="0"/>
              <w:rPr>
                <w:sz w:val="1"/>
                <w:szCs w:val="1"/>
                <w:color w:val="auto"/>
              </w:rPr>
            </w:pPr>
          </w:p>
        </w:tc>
      </w:tr>
      <w:tr>
        <w:trPr>
          <w:trHeight w:val="228"/>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326,227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27.4 %</w:t>
            </w:r>
          </w:p>
        </w:tc>
        <w:tc>
          <w:tcPr>
            <w:tcW w:w="0" w:type="dxa"/>
            <w:vAlign w:val="bottom"/>
          </w:tcPr>
          <w:p>
            <w:pPr>
              <w:spacing w:after="0"/>
              <w:rPr>
                <w:sz w:val="1"/>
                <w:szCs w:val="1"/>
                <w:color w:val="auto"/>
              </w:rPr>
            </w:pPr>
          </w:p>
        </w:tc>
      </w:tr>
      <w:tr>
        <w:trPr>
          <w:trHeight w:val="228"/>
        </w:trPr>
        <w:tc>
          <w:tcPr>
            <w:tcW w:w="6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170,458</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14.3 %</w:t>
            </w:r>
          </w:p>
        </w:tc>
        <w:tc>
          <w:tcPr>
            <w:tcW w:w="0" w:type="dxa"/>
            <w:vAlign w:val="bottom"/>
          </w:tcPr>
          <w:p>
            <w:pPr>
              <w:spacing w:after="0"/>
              <w:rPr>
                <w:sz w:val="1"/>
                <w:szCs w:val="1"/>
                <w:color w:val="auto"/>
              </w:rPr>
            </w:pPr>
          </w:p>
        </w:tc>
      </w:tr>
      <w:tr>
        <w:trPr>
          <w:trHeight w:val="24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1,189,733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100.0 %</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119" w:lineRule="exact"/>
        <w:rPr>
          <w:sz w:val="20"/>
          <w:szCs w:val="20"/>
          <w:color w:val="auto"/>
        </w:rPr>
      </w:pPr>
    </w:p>
    <w:p>
      <w:pPr>
        <w:ind w:firstLine="323"/>
        <w:spacing w:after="0" w:line="270" w:lineRule="auto"/>
        <w:rPr>
          <w:sz w:val="20"/>
          <w:szCs w:val="20"/>
          <w:color w:val="auto"/>
        </w:rPr>
      </w:pPr>
      <w:r>
        <w:rPr>
          <w:rFonts w:ascii="Times New Roman" w:cs="Times New Roman" w:eastAsia="Times New Roman" w:hAnsi="Times New Roman"/>
          <w:sz w:val="17"/>
          <w:szCs w:val="17"/>
          <w:color w:val="auto"/>
        </w:rPr>
        <w:t>Other income and expense items netted to expense of $14,000 and income of $424,000 for the years ended December 31, 2024 and 2023, respectively. Included in 2024 are non-operating expenses of $6.1 million primarily consisting of legal and other professional fees and other expenses related to various strategic initiatives, partially offset by $5.4 million of broker incentive rebates in the Excess and Surplus Lines segment and $660,000 of income related to interest income from trust preferred securities and distributions from a joint venture interest. I</w:t>
      </w:r>
      <w:r>
        <w:rPr>
          <w:rFonts w:ascii="Times New Roman" w:cs="Times New Roman" w:eastAsia="Times New Roman" w:hAnsi="Times New Roman"/>
          <w:sz w:val="17"/>
          <w:szCs w:val="17"/>
          <w:color w:val="231F20"/>
        </w:rPr>
        <w:t>ncluded in 2023 are</w:t>
      </w:r>
      <w:r>
        <w:rPr>
          <w:rFonts w:ascii="Times New Roman" w:cs="Times New Roman" w:eastAsia="Times New Roman" w:hAnsi="Times New Roman"/>
          <w:sz w:val="17"/>
          <w:szCs w:val="17"/>
          <w:color w:val="auto"/>
        </w:rPr>
        <w:t xml:space="preserve"> a $2.2 million gain on the sale of the renewal rights to the IRWC business in the Specialty Admitted Insurance segment, $1.3 million of broker incentive rebates in the Excess and Surplus Lines segment, and $693,000 of income related to interest income from trust preferred securities and distributions from a joint venture interest, partially offset by non-operating expenses of $3.8 million primarily consisting of legal fees related to a purported class action lawsuit and legal and other professional fees and other expenses related to various strategic initiatives including the sale of renewal rights to the IRWC business in the Specialty Admitted Insurance segment.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9" w:lineRule="exact"/>
        <w:rPr>
          <w:sz w:val="20"/>
          <w:szCs w:val="20"/>
          <w:color w:val="auto"/>
        </w:rPr>
      </w:pPr>
    </w:p>
    <w:p>
      <w:pPr>
        <w:ind w:right="360" w:firstLine="363"/>
        <w:spacing w:after="0" w:line="280" w:lineRule="auto"/>
        <w:rPr>
          <w:sz w:val="20"/>
          <w:szCs w:val="20"/>
          <w:color w:val="auto"/>
        </w:rPr>
      </w:pPr>
      <w:r>
        <w:rPr>
          <w:rFonts w:ascii="Times New Roman" w:cs="Times New Roman" w:eastAsia="Times New Roman" w:hAnsi="Times New Roman"/>
          <w:sz w:val="18"/>
          <w:szCs w:val="18"/>
          <w:color w:val="auto"/>
        </w:rPr>
        <w:t>Interest expense was $24.7 million and $24.6 million for the years ended December 31, 2024 and 2023, respectively. See “—Liquidity and Capital Resources—Sources and Uses of Funds” below for information regarding our senior debt facilities and trust preferred securities.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recorded $363,000 of amortization of intangibles in each of the years ended December 31, 2024 and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Impairment</w:t>
      </w:r>
    </w:p>
    <w:p>
      <w:pPr>
        <w:spacing w:after="0" w:line="119" w:lineRule="exact"/>
        <w:rPr>
          <w:sz w:val="20"/>
          <w:szCs w:val="20"/>
          <w:color w:val="auto"/>
        </w:rPr>
      </w:pPr>
    </w:p>
    <w:p>
      <w:pPr>
        <w:ind w:right="160" w:firstLine="363"/>
        <w:spacing w:after="0" w:line="259" w:lineRule="auto"/>
        <w:rPr>
          <w:sz w:val="20"/>
          <w:szCs w:val="20"/>
          <w:color w:val="auto"/>
        </w:rPr>
      </w:pPr>
      <w:r>
        <w:rPr>
          <w:rFonts w:ascii="Times New Roman" w:cs="Times New Roman" w:eastAsia="Times New Roman" w:hAnsi="Times New Roman"/>
          <w:sz w:val="18"/>
          <w:szCs w:val="18"/>
          <w:color w:val="auto"/>
        </w:rPr>
        <w:t>We test goodwill and other intangible assets in each operating segment for impairment at least annually. The fair value of the reporting units is determined by weighting the results of a discounted cash flow analysis and a valuation derived from a market-based approach. Intangible assets are valued using various methodologies. The projection of future cash flows is dependent upon assumptions on the future levels of income as well as business trends, prospects and market and economic conditions.</w:t>
      </w:r>
    </w:p>
    <w:p>
      <w:pPr>
        <w:spacing w:after="0" w:line="74" w:lineRule="exact"/>
        <w:rPr>
          <w:sz w:val="20"/>
          <w:szCs w:val="20"/>
          <w:color w:val="auto"/>
        </w:rPr>
      </w:pPr>
    </w:p>
    <w:p>
      <w:pPr>
        <w:ind w:right="100" w:firstLine="363"/>
        <w:spacing w:after="0" w:line="264" w:lineRule="auto"/>
        <w:rPr>
          <w:sz w:val="20"/>
          <w:szCs w:val="20"/>
          <w:color w:val="auto"/>
        </w:rPr>
      </w:pPr>
      <w:r>
        <w:rPr>
          <w:rFonts w:ascii="Times New Roman" w:cs="Times New Roman" w:eastAsia="Times New Roman" w:hAnsi="Times New Roman"/>
          <w:sz w:val="18"/>
          <w:szCs w:val="18"/>
          <w:color w:val="auto"/>
        </w:rPr>
        <w:t>We perform this assessment to determine whether there has been any impairment in the value of goodwill or intangible assets by comparing its fair value to the net carrying value of the reporting units. If the carrying value exceeds its estimated fair value, an impairment loss is recognized and the asset is written down accordingly.</w:t>
      </w:r>
    </w:p>
    <w:p>
      <w:pPr>
        <w:spacing w:after="0" w:line="6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On September 29, 2023, the Company completed the sale of the renewal rights to the IRWC business in the Specialty Admitted Insurance segment. Upon closing of the transaction, the Company recognized an impairment charge of $2.5 million related to the trademark intangible asset in 2023 associated with the IRWC business.</w:t>
      </w:r>
    </w:p>
    <w:p>
      <w:pPr>
        <w:spacing w:after="0" w:line="69" w:lineRule="exact"/>
        <w:rPr>
          <w:sz w:val="20"/>
          <w:szCs w:val="20"/>
          <w:color w:val="auto"/>
        </w:rPr>
      </w:pPr>
    </w:p>
    <w:p>
      <w:pPr>
        <w:jc w:val="both"/>
        <w:ind w:right="320" w:firstLine="363"/>
        <w:spacing w:after="0" w:line="264" w:lineRule="auto"/>
        <w:rPr>
          <w:sz w:val="20"/>
          <w:szCs w:val="20"/>
          <w:color w:val="auto"/>
        </w:rPr>
      </w:pPr>
      <w:r>
        <w:rPr>
          <w:rFonts w:ascii="Times New Roman" w:cs="Times New Roman" w:eastAsia="Times New Roman" w:hAnsi="Times New Roman"/>
          <w:sz w:val="18"/>
          <w:szCs w:val="18"/>
          <w:color w:val="auto"/>
        </w:rPr>
        <w:t>The Company completed its impairment tests and fair value analysis for goodwill and other intangible assets during the fourth quarter of 2024 and 2023. No impairment was present for the years ended December 31, 2024 or 2023 except for the $2.5 million related to the trademark intangible asset in 2023 as mentioned above.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9" w:lineRule="exact"/>
        <w:rPr>
          <w:sz w:val="20"/>
          <w:szCs w:val="20"/>
          <w:color w:val="auto"/>
        </w:rPr>
      </w:pPr>
    </w:p>
    <w:p>
      <w:pPr>
        <w:ind w:right="100" w:firstLine="363"/>
        <w:spacing w:after="0" w:line="255" w:lineRule="auto"/>
        <w:rPr>
          <w:sz w:val="20"/>
          <w:szCs w:val="20"/>
          <w:color w:val="auto"/>
        </w:rPr>
      </w:pPr>
      <w:r>
        <w:rPr>
          <w:rFonts w:ascii="Times New Roman" w:cs="Times New Roman" w:eastAsia="Times New Roman" w:hAnsi="Times New Roman"/>
          <w:sz w:val="18"/>
          <w:szCs w:val="18"/>
          <w:color w:val="auto"/>
        </w:rPr>
        <w:t>Our effective tax rate fluctuates from period to period based on the relative mix of income reported by country and the respective tax rates imposed by each tax jurisdiction. For the years ended December 31, 2024 and 2023, our effective tax rate was 10.7% and 29.6%, respectively. The Company does not receive a U.S. tax deduction for losses in Bermuda. Bermuda had losses in both years because of Bermuda holding company expenses.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and expenses on share based compensation.</w:t>
      </w:r>
    </w:p>
    <w:p>
      <w:pPr>
        <w:spacing w:after="0" w:line="78" w:lineRule="exact"/>
        <w:rPr>
          <w:sz w:val="20"/>
          <w:szCs w:val="20"/>
          <w:color w:val="auto"/>
        </w:rPr>
      </w:pPr>
    </w:p>
    <w:p>
      <w:pPr>
        <w:ind w:right="80" w:firstLine="363"/>
        <w:spacing w:after="0" w:line="253" w:lineRule="auto"/>
        <w:rPr>
          <w:sz w:val="20"/>
          <w:szCs w:val="20"/>
          <w:color w:val="auto"/>
        </w:rPr>
      </w:pPr>
      <w:r>
        <w:rPr>
          <w:rFonts w:ascii="Times New Roman" w:cs="Times New Roman" w:eastAsia="Times New Roman" w:hAnsi="Times New Roman"/>
          <w:sz w:val="18"/>
          <w:szCs w:val="18"/>
          <w:color w:val="auto"/>
        </w:rPr>
        <w:t>The Company has a deferred tax asset of $18.6 million at December 31, 2024 associated with unrealized losses in the Company’s available-for-sale fixed maturity securities portfolio. The unrealized losses are attributable to changes in market interest rates and other economic factors rather than credit-related factors of the issuers. The Company does not intend to sell available-for-sale debt securities in an unrealized loss position, and it is not “more likely than not” that the Company will be required to sell these securities before a recovery in their fair value to their amortized cost basis occurs. The Company’s hold to recovery assertion related to investments in an unrealized loss position is considered a tax planning strategy. Both the cash generated by the Company from operating activities and the unused capacity on the Company’s unsecured revolving credit facilities reduce the likelihood of having to sell debt securities in an unrealized loss position. As a result, the Company has concluded that no valuation allowance is required for the deferred tax asset associated with unrealized losses on its investments at December 31, 2024.</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2023 Compared to Year Ended December 31, 2022</w:t>
      </w:r>
    </w:p>
    <w:p>
      <w:pPr>
        <w:spacing w:after="0" w:line="117" w:lineRule="exact"/>
        <w:rPr>
          <w:sz w:val="20"/>
          <w:szCs w:val="20"/>
          <w:color w:val="auto"/>
        </w:rPr>
      </w:pPr>
    </w:p>
    <w:p>
      <w:pPr>
        <w:ind w:firstLine="363"/>
        <w:spacing w:after="0" w:line="280" w:lineRule="auto"/>
        <w:rPr>
          <w:sz w:val="20"/>
          <w:szCs w:val="20"/>
          <w:color w:val="auto"/>
        </w:rPr>
      </w:pPr>
      <w:r>
        <w:rPr>
          <w:rFonts w:ascii="Times New Roman" w:cs="Times New Roman" w:eastAsia="Times New Roman" w:hAnsi="Times New Roman"/>
          <w:sz w:val="18"/>
          <w:szCs w:val="18"/>
          <w:color w:val="auto"/>
        </w:rPr>
        <w:t>For a discussion of our results for the year ended December 31, 2023 as compared to year ended December 31, 2022, please refer to our 2023 Form 10-K filed with the SEC on February 29,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19" w:lineRule="exact"/>
        <w:rPr>
          <w:sz w:val="20"/>
          <w:szCs w:val="20"/>
          <w:color w:val="auto"/>
        </w:rPr>
      </w:pPr>
    </w:p>
    <w:p>
      <w:pPr>
        <w:ind w:firstLine="363"/>
        <w:spacing w:after="0" w:line="256" w:lineRule="auto"/>
        <w:rPr>
          <w:sz w:val="20"/>
          <w:szCs w:val="20"/>
          <w:color w:val="auto"/>
        </w:rPr>
      </w:pPr>
      <w:r>
        <w:rPr>
          <w:rFonts w:ascii="Times New Roman" w:cs="Times New Roman" w:eastAsia="Times New Roman" w:hAnsi="Times New Roman"/>
          <w:sz w:val="18"/>
          <w:szCs w:val="18"/>
          <w:color w:val="auto"/>
        </w:rPr>
        <w:t>Our sources of funds consist primarily of premiums written, investment income, reinsurance recoveries, proceeds from sales and redemptions of investments, borrowings on our credit facilities, and the issuance of common shares and Series A Preferred Shares. We use operating cash flows primarily to pay operating expenses, losses and loss adjustment expenses, reinsurance premiums, and income taxes. Cash flow from operations may differ substantially from net income. The potential for a large claim under an insurance contract means that substantial and unpredictable payments may need to be made within relatively short periods of time.</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total cash flows including both continuing and discontinued operations, consistent with the presentation 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80" w:type="dxa"/>
            <w:vAlign w:val="bottom"/>
            <w:gridSpan w:val="6"/>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r>
      <w:tr>
        <w:trPr>
          <w:trHeight w:val="25"/>
        </w:trPr>
        <w:tc>
          <w:tcPr>
            <w:tcW w:w="7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8"/>
        </w:trPr>
        <w:tc>
          <w:tcPr>
            <w:tcW w:w="7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provided by (used in):</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 (excluding restricted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(203,341)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118,719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221,524</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307,032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(328,154)</w:t>
            </w:r>
          </w:p>
        </w:tc>
      </w:tr>
      <w:tr>
        <w:trPr>
          <w:trHeight w:val="228"/>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89,671</w:t>
            </w:r>
          </w:p>
        </w:tc>
      </w:tr>
      <w:tr>
        <w:trPr>
          <w:trHeight w:val="22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(16,959)</w:t>
            </w:r>
          </w:p>
        </w:tc>
      </w:tr>
      <w:tr>
        <w:trPr>
          <w:trHeight w:val="228"/>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restricted cash equivalents (operating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47"/>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 equivalents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60" w:firstLine="323"/>
        <w:spacing w:after="0" w:line="253" w:lineRule="auto"/>
        <w:rPr>
          <w:sz w:val="20"/>
          <w:szCs w:val="20"/>
          <w:color w:val="auto"/>
        </w:rPr>
      </w:pPr>
      <w:r>
        <w:rPr>
          <w:rFonts w:ascii="Times New Roman" w:cs="Times New Roman" w:eastAsia="Times New Roman" w:hAnsi="Times New Roman"/>
          <w:sz w:val="18"/>
          <w:szCs w:val="18"/>
          <w:color w:val="auto"/>
        </w:rPr>
        <w:t>Cash used in operating activities excluding restricted cash equivalents of $203.3 million for the year ended December 31, 2024 principally reflects $313.2 million and $52.8 million of reinsurance premium paid in 2024 related to the E&amp;S ADC and E&amp;S Top Up ADC, respectively. Cash provided by operating activities excluding restricted cash equivalents of $118.7 million and $221.5 million for the years ended December 31, 2023 and 2022, respectively, was driven by the growth in our U.S. segments and the collection of premiums receivable at a quicker rate than payments of loss and loss adjustment expenses. The cash provided by operating activities declined in 2023 relative to 2022 due to the suspension of underwriting activities of JRG Re in 2023. Cash (used in) provided by operating activities from continuing operations excluding restricted cash equivalents was $(178.2) million, $234.6 million, and $246.6 million for the years ended December 31, 2024, 2023, and 2022, respectively, compared to cash used in operating activities of discontinued operations of $25.1 million, $115.9 million, and $25.1 million in the respective years.</w:t>
      </w:r>
    </w:p>
    <w:p>
      <w:pPr>
        <w:spacing w:after="0" w:line="82" w:lineRule="exact"/>
        <w:rPr>
          <w:sz w:val="20"/>
          <w:szCs w:val="20"/>
          <w:color w:val="auto"/>
        </w:rPr>
      </w:pPr>
    </w:p>
    <w:p>
      <w:pPr>
        <w:ind w:right="20" w:firstLine="323"/>
        <w:spacing w:after="0" w:line="268" w:lineRule="auto"/>
        <w:rPr>
          <w:sz w:val="20"/>
          <w:szCs w:val="20"/>
          <w:color w:val="auto"/>
        </w:rPr>
      </w:pPr>
      <w:r>
        <w:rPr>
          <w:rFonts w:ascii="Times New Roman" w:cs="Times New Roman" w:eastAsia="Times New Roman" w:hAnsi="Times New Roman"/>
          <w:sz w:val="17"/>
          <w:szCs w:val="17"/>
          <w:color w:val="auto"/>
        </w:rPr>
        <w:t>Cash provided by investing activities of $307.0 million in 2024 reflects the $96.4 million of proceeds from the sale of JRG Re and the sale of investments to fund the reinsurance premiums for the E&amp;S ADC and E&amp;S Top Up ADC. In 2023, cash provided by investing activities of $16.7 million was driven by the suspension of underwriting activities of JRG Re and the withdrawal of invested assets in that company to fund claims and operating expenses. Cash used in investing activities for 2022 of $328.2 million reflects our efforts to enhance the yield in our investment portfolio by investing available cash and cash equivalents into higher yielding investments. Cash and cash equivalents (excluding restricted cash equivalents) comprised 18.9%, 13.9%, and</w:t>
      </w:r>
    </w:p>
    <w:p>
      <w:pPr>
        <w:spacing w:after="0" w:line="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7.3% of total cash and invested assets at December 31, 2024, 2023, and 2022, respectively. Cash provided by (used in) investing activities from continuing operations was $243.9 million, $(98.4) million, and $(336.7) million for the years ended December 31, 2024, 2023, and 2022, respectively, compared to cash provided by investing activities of discontinued operations of $63.1 million, $115.1 million, and $8.5 million in the respective years.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(used in) provided by financing activities above relate entirely to continuing operations for all years. Cash used in financing activities of</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$28.8 million for the year ended December 31, 2024 includes a $21.5 million repayment of an unsecured loan under the 2017 facility, $12.5 million received for the common share investment by Enstar, $12.8 million of dividends paid on the Series A Preferred Shares, $6.2 million of dividends paid to common shareholders, and $847,000 of payroll taxes withheld and remitted on net settlement of restricted share units (“RSUs”). Cash used in financing activities of $21.1 million for the year ended December 31, 2023 includes $7.7 million of dividends paid to common shareholders, $10.5 million of dividends paid on the Series A Preferred Shares, $1.1 million of paid issuance costs related to the amendment of the 2013 Facility in July, 2023, and $1.7 million of payroll taxes withheld and remitted on net settlement of RSUs. Cash provided by financing activities of $89.7 million for the year ended December 31, 2022 includes $144.9 million of net proceeds (after expenses) from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and sale of 150,000 Series A Preferred Shares on March 1, 2022. The proceeds were used for general corporate purposes and to repay</w:t>
      </w:r>
    </w:p>
    <w:p>
      <w:pPr>
        <w:spacing w:after="0" w:line="27" w:lineRule="exact"/>
        <w:rPr>
          <w:sz w:val="20"/>
          <w:szCs w:val="20"/>
          <w:color w:val="auto"/>
        </w:rPr>
      </w:pPr>
    </w:p>
    <w:p>
      <w:pPr>
        <w:jc w:val="both"/>
        <w:ind w:right="220"/>
        <w:spacing w:after="0" w:line="253" w:lineRule="auto"/>
        <w:rPr>
          <w:sz w:val="20"/>
          <w:szCs w:val="20"/>
          <w:color w:val="auto"/>
        </w:rPr>
      </w:pPr>
      <w:r>
        <w:rPr>
          <w:rFonts w:ascii="Times New Roman" w:cs="Times New Roman" w:eastAsia="Times New Roman" w:hAnsi="Times New Roman"/>
          <w:sz w:val="18"/>
          <w:szCs w:val="18"/>
          <w:color w:val="auto"/>
        </w:rPr>
        <w:t>$40.0 million of loans outstanding on the 2017 Facility (as defined below) on March 28, 2022. Financing activities for the year ended December 31, 2022 also include $7.8 million of dividends paid to common shareholders, $6.1 million of dividends paid on the Series A Preferred Shares, and $1.3 million of payroll taxes withheld and remitted on net settlement of RSUs.</w:t>
      </w:r>
    </w:p>
    <w:p>
      <w:pPr>
        <w:spacing w:after="0" w:line="79" w:lineRule="exact"/>
        <w:rPr>
          <w:sz w:val="20"/>
          <w:szCs w:val="20"/>
          <w:color w:val="auto"/>
        </w:rPr>
      </w:pPr>
    </w:p>
    <w:p>
      <w:pPr>
        <w:ind w:firstLine="363"/>
        <w:spacing w:after="0" w:line="259" w:lineRule="auto"/>
        <w:rPr>
          <w:sz w:val="20"/>
          <w:szCs w:val="20"/>
          <w:color w:val="auto"/>
        </w:rPr>
      </w:pPr>
      <w:r>
        <w:rPr>
          <w:rFonts w:ascii="Times New Roman" w:cs="Times New Roman" w:eastAsia="Times New Roman" w:hAnsi="Times New Roman"/>
          <w:sz w:val="18"/>
          <w:szCs w:val="18"/>
          <w:color w:val="auto"/>
        </w:rPr>
        <w:t>As permitted under the agreements establishing the Indemnity Trust and the LPT Trust, we have withdrawn collateral from the Indemnity Trust and the LPT Trust to fund the Loss Fund Trust as required under the Administrative Services Agreement. Amounts on deposit in the Loss Fund Trust are included in restricted cash equivalents on the Company's consolidated balance sheet. See “</w:t>
      </w:r>
      <w:r>
        <w:rPr>
          <w:rFonts w:ascii="Times New Roman" w:cs="Times New Roman" w:eastAsia="Times New Roman" w:hAnsi="Times New Roman"/>
          <w:sz w:val="18"/>
          <w:szCs w:val="18"/>
          <w:i w:val="1"/>
          <w:iCs w:val="1"/>
          <w:color w:val="auto"/>
        </w:rPr>
        <w:t>Amounts Recoverable from an Indemnifying Party and Reinsurer on Legacy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 Auto Book</w:t>
      </w:r>
      <w:r>
        <w:rPr>
          <w:rFonts w:ascii="Times New Roman" w:cs="Times New Roman" w:eastAsia="Times New Roman" w:hAnsi="Times New Roman"/>
          <w:sz w:val="18"/>
          <w:szCs w:val="18"/>
          <w:color w:val="auto"/>
        </w:rPr>
        <w:t>” below.</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7" w:lineRule="exact"/>
        <w:rPr>
          <w:sz w:val="20"/>
          <w:szCs w:val="20"/>
          <w:color w:val="auto"/>
        </w:rPr>
      </w:pPr>
    </w:p>
    <w:p>
      <w:pPr>
        <w:ind w:right="20" w:firstLine="363"/>
        <w:spacing w:after="0" w:line="259" w:lineRule="auto"/>
        <w:rPr>
          <w:sz w:val="20"/>
          <w:szCs w:val="20"/>
          <w:color w:val="auto"/>
        </w:rPr>
      </w:pPr>
      <w:r>
        <w:rPr>
          <w:rFonts w:ascii="Times New Roman" w:cs="Times New Roman" w:eastAsia="Times New Roman" w:hAnsi="Times New Roman"/>
          <w:sz w:val="18"/>
          <w:szCs w:val="18"/>
          <w:color w:val="auto"/>
        </w:rPr>
        <w:t>We are organized as a Bermuda holding company with our operations conducted by our wholly-owned subsidiaries. Accordingly, our holding company may receive cash through loans from banks, issuance of equity and debt securities,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spacing w:after="0" w:line="74" w:lineRule="exact"/>
        <w:rPr>
          <w:sz w:val="20"/>
          <w:szCs w:val="20"/>
          <w:color w:val="auto"/>
        </w:rPr>
      </w:pPr>
    </w:p>
    <w:p>
      <w:pPr>
        <w:ind w:firstLine="363"/>
        <w:spacing w:after="0" w:line="254" w:lineRule="auto"/>
        <w:rPr>
          <w:sz w:val="20"/>
          <w:szCs w:val="20"/>
          <w:color w:val="auto"/>
        </w:rPr>
      </w:pPr>
      <w:r>
        <w:rPr>
          <w:rFonts w:ascii="Times New Roman" w:cs="Times New Roman" w:eastAsia="Times New Roman" w:hAnsi="Times New Roman"/>
          <w:sz w:val="18"/>
          <w:szCs w:val="18"/>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reduction of statutory surplus to inadequate levels and could refuse to permit the payment of dividends calculated under any applicable formula. See Item 1. Business—U.S. Insurance Regulation—State Regulation” for additional information. The maximum amount of dividends available to the U.S. holding company from our U.S. insurance subsidiaries during 2025 without regulatory approval is $64.3 million.</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Holders of the Series A Preferred Shares are entitled to a dividend at the rate of 7% of the $1,000 liquidation preference per share (the “Liquidation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Preference”) per annum, paid in cash, in-kind in common shares or in Series A Preferred Shares, at our election. On October 1, 2029, and each five-year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anniversary thereafter, the dividend rate will reset to a rate equal to the five-year U.S. treasury rate plus 5.2%, provided, that the dividend rate shall not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 8.0%. Dividends accrue and are payable quarterly. For the years ended December 31, 2024, 2023, and 2022, cash dividends of $10.1 million,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 million, and $8.8 million were declared, respectively. Cash dividends paid were $12.8 million, $10.5 million, and $6.1 million in the respective years.</w:t>
      </w:r>
    </w:p>
    <w:p>
      <w:pPr>
        <w:spacing w:after="0" w:line="108" w:lineRule="exact"/>
        <w:rPr>
          <w:sz w:val="20"/>
          <w:szCs w:val="20"/>
          <w:color w:val="auto"/>
        </w:rPr>
      </w:pPr>
    </w:p>
    <w:p>
      <w:pPr>
        <w:ind w:right="40" w:firstLine="363"/>
        <w:spacing w:after="0" w:line="259" w:lineRule="auto"/>
        <w:rPr>
          <w:sz w:val="20"/>
          <w:szCs w:val="20"/>
          <w:color w:val="auto"/>
        </w:rPr>
      </w:pPr>
      <w:r>
        <w:rPr>
          <w:rFonts w:ascii="Times New Roman" w:cs="Times New Roman" w:eastAsia="Times New Roman" w:hAnsi="Times New Roman"/>
          <w:sz w:val="18"/>
          <w:szCs w:val="18"/>
          <w:color w:val="auto"/>
        </w:rPr>
        <w:t>At December 31, 2024, our Bermuda holding company had $64.5 million of cash and cash equivalent assets. Our U.S. holding company had $9.5 million of cash and invested assets at December 31, 2024, comprised of cash and cash equivalents of $6.0 million, preferred stock of $3.1 million, and other invested assets of $464,000, which are not subject to regulatory restrictions. Additionally, our U.K. intermediate holding company had no invested assets and cash of less than $10,000 at December 31,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Agreements</w:t>
      </w:r>
    </w:p>
    <w:p>
      <w:pPr>
        <w:spacing w:after="0" w:line="117" w:lineRule="exact"/>
        <w:rPr>
          <w:sz w:val="20"/>
          <w:szCs w:val="20"/>
          <w:color w:val="auto"/>
        </w:rPr>
      </w:pPr>
    </w:p>
    <w:p>
      <w:pPr>
        <w:ind w:right="340" w:firstLine="363"/>
        <w:spacing w:after="0" w:line="280" w:lineRule="auto"/>
        <w:rPr>
          <w:sz w:val="20"/>
          <w:szCs w:val="20"/>
          <w:color w:val="auto"/>
        </w:rPr>
      </w:pPr>
      <w:r>
        <w:rPr>
          <w:rFonts w:ascii="Times New Roman" w:cs="Times New Roman" w:eastAsia="Times New Roman" w:hAnsi="Times New Roman"/>
          <w:sz w:val="18"/>
          <w:szCs w:val="18"/>
          <w:color w:val="auto"/>
        </w:rPr>
        <w:t>The Company has a $257.5 million senior revolving credit facility (as amended or amended and restated, the “2013 Facility”). The 2013 Facility is comprised of the following at December 31, 2024:</w:t>
      </w:r>
    </w:p>
    <w:p>
      <w:pPr>
        <w:spacing w:after="0" w:line="55" w:lineRule="exact"/>
        <w:rPr>
          <w:sz w:val="20"/>
          <w:szCs w:val="20"/>
          <w:color w:val="auto"/>
        </w:rPr>
      </w:pPr>
    </w:p>
    <w:p>
      <w:pPr>
        <w:ind w:left="660" w:right="140" w:hanging="330"/>
        <w:spacing w:after="0" w:line="256" w:lineRule="auto"/>
        <w:tabs>
          <w:tab w:leader="none" w:pos="5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$212.5 million unsecured revolving facility to meet the working capital needs of the Company. All unpaid principal on the revolver is due at maturity. Interest accrues quarterly and is payable in arrears, currently at 1-month SOFR (the Company, per the terms of the credit agreement, can elect between one, three, or six month interest periods) plus a 0.1% SOFR index adjustment and a SOFR margin (1.75% at December 31, 2024), which is subject to change according to terms in the credit agreement. At December 31, 2024 and 2023, the Company had a drawn balance of $185.8 million outstanding on the unsecured revolver.</w:t>
      </w:r>
    </w:p>
    <w:p>
      <w:pPr>
        <w:spacing w:after="0" w:line="78" w:lineRule="exact"/>
        <w:rPr>
          <w:rFonts w:ascii="Times New Roman" w:cs="Times New Roman" w:eastAsia="Times New Roman" w:hAnsi="Times New Roman"/>
          <w:sz w:val="18"/>
          <w:szCs w:val="18"/>
          <w:color w:val="auto"/>
        </w:rPr>
      </w:pPr>
    </w:p>
    <w:p>
      <w:pPr>
        <w:ind w:left="660" w:right="40" w:hanging="330"/>
        <w:spacing w:after="0" w:line="264" w:lineRule="auto"/>
        <w:tabs>
          <w:tab w:leader="none" w:pos="5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$45.0 million secured revolving facility to issue letters of credit for the benefit of third-party reinsureds. At December 31, 2024, the Company had $7.5 million of letters of credit issued under the secured facility, all of which are collateralized by a back-to-back letter of credit issued by Comerica Bank on behalf of JRG Re.</w:t>
      </w:r>
    </w:p>
    <w:p>
      <w:pPr>
        <w:spacing w:after="0" w:line="69" w:lineRule="exact"/>
        <w:rPr>
          <w:sz w:val="20"/>
          <w:szCs w:val="20"/>
          <w:color w:val="auto"/>
        </w:rPr>
      </w:pPr>
    </w:p>
    <w:p>
      <w:pPr>
        <w:ind w:right="20" w:firstLine="323"/>
        <w:spacing w:after="0" w:line="256" w:lineRule="auto"/>
        <w:rPr>
          <w:sz w:val="20"/>
          <w:szCs w:val="20"/>
          <w:color w:val="auto"/>
        </w:rPr>
      </w:pPr>
      <w:r>
        <w:rPr>
          <w:rFonts w:ascii="Times New Roman" w:cs="Times New Roman" w:eastAsia="Times New Roman" w:hAnsi="Times New Roman"/>
          <w:sz w:val="18"/>
          <w:szCs w:val="18"/>
          <w:color w:val="auto"/>
        </w:rPr>
        <w:t>On July 7, 2023, the Company entered into a Third Amended and Restated Credit Agreement for the 2013 Facility which, among other things, extended the maturity date of such facility until July 7, 2026 and increased the applicable interest rate and letter of credit fees. The 2013 Facility has been amended from time to time, including on April 16, 2024 when the 2013 Facility was amended in connection with the closing of the sale of JRG Re by the Company to (i) release JRG Re as a borrower and release all collateral pledged by JRG Re thereunder, and (ii) decrease the secured revolving facility commitment from $102.5 million to $45.0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00" w:firstLine="323"/>
        <w:spacing w:after="0" w:line="255" w:lineRule="auto"/>
        <w:rPr>
          <w:sz w:val="20"/>
          <w:szCs w:val="20"/>
          <w:color w:val="auto"/>
        </w:rPr>
      </w:pPr>
      <w:r>
        <w:rPr>
          <w:rFonts w:ascii="Times New Roman" w:cs="Times New Roman" w:eastAsia="Times New Roman" w:hAnsi="Times New Roman"/>
          <w:sz w:val="18"/>
          <w:szCs w:val="18"/>
          <w:color w:val="auto"/>
        </w:rPr>
        <w:t>Additionally, the Third Amended and Restated Credit Agreement provides for an accordion feature that permits the Company to request that one or more lenders (without the consent of the other lenders) or one or more financial institutions which were not previously party to the Third Amended and Restated Credit Agreement (with the consent of the administrative agent) provide it with increases in the secured or unsecured revolving credit facilities of up to an aggregate of $100.0 million, which is unchanged from the accordion feature set forth in the Second Amended and Restated Credit Agreement. The Company’s ability to request such increases in the revolving credit facility is subject to its compliance with customary conditions set forth in the Third Amended and Restated Credit Agreement.</w:t>
      </w:r>
    </w:p>
    <w:p>
      <w:pPr>
        <w:spacing w:after="0" w:line="78" w:lineRule="exact"/>
        <w:rPr>
          <w:sz w:val="20"/>
          <w:szCs w:val="20"/>
          <w:color w:val="auto"/>
        </w:rPr>
      </w:pPr>
    </w:p>
    <w:p>
      <w:pPr>
        <w:ind w:right="260" w:firstLine="323"/>
        <w:spacing w:after="0" w:line="280" w:lineRule="auto"/>
        <w:rPr>
          <w:sz w:val="20"/>
          <w:szCs w:val="20"/>
          <w:color w:val="auto"/>
        </w:rPr>
      </w:pPr>
      <w:r>
        <w:rPr>
          <w:rFonts w:ascii="Times New Roman" w:cs="Times New Roman" w:eastAsia="Times New Roman" w:hAnsi="Times New Roman"/>
          <w:sz w:val="18"/>
          <w:szCs w:val="18"/>
          <w:color w:val="auto"/>
        </w:rPr>
        <w:t>The 2013 Facility contains certain financial and other covenants (including minimum net worth, maximum ratio of total adjusted debt outstanding to total capitalization, and financial strength ratings) with which the Company was in compliance at December 31, 2024.</w:t>
      </w:r>
    </w:p>
    <w:p>
      <w:pPr>
        <w:spacing w:after="0" w:line="55" w:lineRule="exact"/>
        <w:rPr>
          <w:sz w:val="20"/>
          <w:szCs w:val="20"/>
          <w:color w:val="auto"/>
        </w:rPr>
      </w:pPr>
    </w:p>
    <w:p>
      <w:pPr>
        <w:ind w:firstLine="363"/>
        <w:spacing w:after="0" w:line="279" w:lineRule="auto"/>
        <w:rPr>
          <w:sz w:val="20"/>
          <w:szCs w:val="20"/>
          <w:color w:val="auto"/>
        </w:rPr>
      </w:pPr>
      <w:r>
        <w:rPr>
          <w:rFonts w:ascii="Times New Roman" w:cs="Times New Roman" w:eastAsia="Times New Roman" w:hAnsi="Times New Roman"/>
          <w:sz w:val="17"/>
          <w:szCs w:val="17"/>
          <w:color w:val="auto"/>
        </w:rPr>
        <w:t>On August 2, 2017, the Company and its former wholly-owned subsidiary, JRG Re, together as borrowers, entered into a credit agreement (the "2017 Facility") that provided the Company with a revolving line of credit of up to $100.0 million, which was used for loans and letters of credit made or issued, at the borrowers' option, on a secured or unsecured basis. The loans and letters of credit made or issued under the revolving line of credit were used to finance the Borrowers’ general corporate purposes. Obligations under the 2017 Facility carried a variable rate of interest subject to terms in the credit agreement.</w:t>
      </w:r>
    </w:p>
    <w:p>
      <w:pPr>
        <w:spacing w:after="0" w:line="58" w:lineRule="exact"/>
        <w:rPr>
          <w:sz w:val="20"/>
          <w:szCs w:val="20"/>
          <w:color w:val="auto"/>
        </w:rPr>
      </w:pPr>
    </w:p>
    <w:p>
      <w:pPr>
        <w:ind w:right="40" w:firstLine="323"/>
        <w:spacing w:after="0" w:line="256" w:lineRule="auto"/>
        <w:rPr>
          <w:sz w:val="20"/>
          <w:szCs w:val="20"/>
          <w:color w:val="auto"/>
        </w:rPr>
      </w:pPr>
      <w:r>
        <w:rPr>
          <w:rFonts w:ascii="Times New Roman" w:cs="Times New Roman" w:eastAsia="Times New Roman" w:hAnsi="Times New Roman"/>
          <w:sz w:val="18"/>
          <w:szCs w:val="18"/>
          <w:color w:val="auto"/>
        </w:rPr>
        <w:t>The 2017 Facility was amended from time to time since its inception in 2017, including on April 16, 2024 in connection with the closing of the sale of JRG Re by the Company to (i) release JRG Re as a borrower and release all collateral pledged by JRG Re thereunder, (ii) increase the applicable interest rates, (iii) eliminate the letter of credit portion of the facility, and (iv) to build in an automatic decrease of the facility amount by the amount of each letter of credit outstanding under the 2017 Facility as of the date of the amendment with effect from the date each such letter of credit is cancelled. The 2017 Facility was terminated in November 2024.</w:t>
      </w:r>
    </w:p>
    <w:p>
      <w:pPr>
        <w:spacing w:after="0" w:line="79" w:lineRule="exact"/>
        <w:rPr>
          <w:sz w:val="20"/>
          <w:szCs w:val="20"/>
          <w:color w:val="auto"/>
        </w:rPr>
      </w:pPr>
    </w:p>
    <w:p>
      <w:pPr>
        <w:ind w:firstLine="363"/>
        <w:spacing w:after="0" w:line="256" w:lineRule="auto"/>
        <w:rPr>
          <w:sz w:val="20"/>
          <w:szCs w:val="20"/>
          <w:color w:val="auto"/>
        </w:rPr>
      </w:pPr>
      <w:r>
        <w:rPr>
          <w:rFonts w:ascii="Times New Roman" w:cs="Times New Roman" w:eastAsia="Times New Roman" w:hAnsi="Times New Roman"/>
          <w:sz w:val="18"/>
          <w:szCs w:val="18"/>
          <w:color w:val="auto"/>
        </w:rPr>
        <w:t>On May 26, 2004, we issued $15.0 million of senior debt due April 29, 2034. The senior debt is not redeemable by the holder or subject to sinking fund requirements. Interest accrues quarterly and is payable in arrears at a floating rate per annum equal to the 3-month SOFR and 3.85% margin plus a spread adjustment of 0.26%. This senior debt is redeemable at par prior to its stated maturity at our option in whole or in part. The terms of the senior debt contain certain covenants, with which we are in compliance at December 31, 2024, and which, among other things, restrict our ability to assume senior indebtedness secured by our U.S. holding company's common stock or its subsidiaries' capital stock or to issue shares of its subsidiaries' capital stock.</w:t>
      </w:r>
    </w:p>
    <w:p>
      <w:pPr>
        <w:spacing w:after="0" w:line="79" w:lineRule="exact"/>
        <w:rPr>
          <w:sz w:val="20"/>
          <w:szCs w:val="20"/>
          <w:color w:val="auto"/>
        </w:rPr>
      </w:pPr>
    </w:p>
    <w:p>
      <w:pPr>
        <w:ind w:right="160" w:firstLine="323"/>
        <w:spacing w:after="0" w:line="264" w:lineRule="auto"/>
        <w:rPr>
          <w:sz w:val="20"/>
          <w:szCs w:val="20"/>
          <w:color w:val="auto"/>
        </w:rPr>
      </w:pPr>
      <w:r>
        <w:rPr>
          <w:rFonts w:ascii="Times New Roman" w:cs="Times New Roman" w:eastAsia="Times New Roman" w:hAnsi="Times New Roman"/>
          <w:sz w:val="18"/>
          <w:szCs w:val="18"/>
          <w:color w:val="auto"/>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spacing w:after="0" w:line="69" w:lineRule="exact"/>
        <w:rPr>
          <w:sz w:val="20"/>
          <w:szCs w:val="20"/>
          <w:color w:val="auto"/>
        </w:rPr>
      </w:pPr>
    </w:p>
    <w:p>
      <w:pPr>
        <w:ind w:right="200" w:firstLine="363"/>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nature and terms of the junior subordinated debt and trust preferred securities outstanding at December 31, 2024 (including the Company’s repurchase of a portion of these trust preferred securities):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Franklin</w:t>
            </w:r>
          </w:p>
        </w:tc>
        <w:tc>
          <w:tcPr>
            <w:tcW w:w="0" w:type="dxa"/>
            <w:vAlign w:val="bottom"/>
          </w:tcPr>
          <w:p>
            <w:pPr>
              <w:spacing w:after="0"/>
              <w:rPr>
                <w:sz w:val="1"/>
                <w:szCs w:val="1"/>
                <w:color w:val="auto"/>
              </w:rPr>
            </w:pPr>
          </w:p>
        </w:tc>
      </w:tr>
      <w:tr>
        <w:trPr>
          <w:trHeight w:val="146"/>
        </w:trPr>
        <w:tc>
          <w:tcPr>
            <w:tcW w:w="304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Holdings II</w:t>
            </w:r>
          </w:p>
        </w:tc>
        <w:tc>
          <w:tcPr>
            <w:tcW w:w="0" w:type="dxa"/>
            <w:vAlign w:val="bottom"/>
          </w:tcPr>
          <w:p>
            <w:pPr>
              <w:spacing w:after="0"/>
              <w:rPr>
                <w:sz w:val="1"/>
                <w:szCs w:val="1"/>
                <w:color w:val="auto"/>
              </w:rPr>
            </w:pPr>
          </w:p>
        </w:tc>
      </w:tr>
      <w:tr>
        <w:trPr>
          <w:trHeight w:val="137"/>
        </w:trPr>
        <w:tc>
          <w:tcPr>
            <w:tcW w:w="304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15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(Bermuda)</w:t>
            </w:r>
          </w:p>
        </w:tc>
        <w:tc>
          <w:tcPr>
            <w:tcW w:w="0" w:type="dxa"/>
            <w:vAlign w:val="bottom"/>
          </w:tcPr>
          <w:p>
            <w:pPr>
              <w:spacing w:after="0"/>
              <w:rPr>
                <w:sz w:val="1"/>
                <w:szCs w:val="1"/>
                <w:color w:val="auto"/>
              </w:rPr>
            </w:pPr>
          </w:p>
        </w:tc>
      </w:tr>
      <w:tr>
        <w:trPr>
          <w:trHeight w:val="146"/>
        </w:trPr>
        <w:tc>
          <w:tcPr>
            <w:tcW w:w="3040" w:type="dxa"/>
            <w:vAlign w:val="bottom"/>
          </w:tcPr>
          <w:p>
            <w:pPr>
              <w:spacing w:after="0"/>
              <w:rPr>
                <w:sz w:val="12"/>
                <w:szCs w:val="12"/>
                <w:color w:val="auto"/>
              </w:rPr>
            </w:pP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96"/>
        </w:trPr>
        <w:tc>
          <w:tcPr>
            <w:tcW w:w="304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Trust I</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Trust II</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Trust III</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Trust IV</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Trust I</w:t>
            </w:r>
          </w:p>
        </w:tc>
        <w:tc>
          <w:tcPr>
            <w:tcW w:w="0" w:type="dxa"/>
            <w:vAlign w:val="bottom"/>
          </w:tcPr>
          <w:p>
            <w:pPr>
              <w:spacing w:after="0"/>
              <w:rPr>
                <w:sz w:val="1"/>
                <w:szCs w:val="1"/>
                <w:color w:val="auto"/>
              </w:rPr>
            </w:pPr>
          </w:p>
        </w:tc>
      </w:tr>
      <w:tr>
        <w:trPr>
          <w:trHeight w:val="195"/>
        </w:trPr>
        <w:tc>
          <w:tcPr>
            <w:tcW w:w="30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7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 date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May 26, 2004</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15, 2004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June 15, 2006</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11, 2007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January 10, 2008</w:t>
            </w:r>
          </w:p>
        </w:tc>
        <w:tc>
          <w:tcPr>
            <w:tcW w:w="0" w:type="dxa"/>
            <w:vAlign w:val="bottom"/>
          </w:tcPr>
          <w:p>
            <w:pPr>
              <w:spacing w:after="0"/>
              <w:rPr>
                <w:sz w:val="1"/>
                <w:szCs w:val="1"/>
                <w:color w:val="auto"/>
              </w:rPr>
            </w:pPr>
          </w:p>
        </w:tc>
      </w:tr>
      <w:tr>
        <w:trPr>
          <w:trHeight w:val="194"/>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amount of trust preferred securities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$7,000</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$20,000</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amount of junior subordinated debt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$7,217</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$15,464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$20,619</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$55,670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$30,928</w:t>
            </w:r>
          </w:p>
        </w:tc>
        <w:tc>
          <w:tcPr>
            <w:tcW w:w="0" w:type="dxa"/>
            <w:vAlign w:val="bottom"/>
          </w:tcPr>
          <w:p>
            <w:pPr>
              <w:spacing w:after="0"/>
              <w:rPr>
                <w:sz w:val="1"/>
                <w:szCs w:val="1"/>
                <w:color w:val="auto"/>
              </w:rPr>
            </w:pPr>
          </w:p>
        </w:tc>
      </w:tr>
      <w:tr>
        <w:trPr>
          <w:trHeight w:val="139"/>
        </w:trPr>
        <w:tc>
          <w:tcPr>
            <w:tcW w:w="3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Carrying amount of junior subordinated debt net of</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$7,217</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$15,464</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$20,619</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$44,827</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$15,928</w:t>
            </w:r>
          </w:p>
        </w:tc>
        <w:tc>
          <w:tcPr>
            <w:tcW w:w="0" w:type="dxa"/>
            <w:vAlign w:val="bottom"/>
          </w:tcPr>
          <w:p>
            <w:pPr>
              <w:spacing w:after="0"/>
              <w:rPr>
                <w:sz w:val="1"/>
                <w:szCs w:val="1"/>
                <w:color w:val="auto"/>
              </w:rPr>
            </w:pPr>
          </w:p>
        </w:tc>
      </w:tr>
      <w:tr>
        <w:trPr>
          <w:trHeight w:val="191"/>
        </w:trPr>
        <w:tc>
          <w:tcPr>
            <w:tcW w:w="3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w:t>
            </w:r>
          </w:p>
        </w:tc>
        <w:tc>
          <w:tcPr>
            <w:tcW w:w="152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0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Maturity date of junior subordinated debt, unless</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May 24, 2034</w:t>
            </w:r>
          </w:p>
        </w:tc>
        <w:tc>
          <w:tcPr>
            <w:tcW w:w="1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15, 2034</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June 15, 2036</w:t>
            </w:r>
          </w:p>
        </w:tc>
        <w:tc>
          <w:tcPr>
            <w:tcW w:w="1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15, 2037</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March 15, 2038</w:t>
            </w:r>
          </w:p>
        </w:tc>
        <w:tc>
          <w:tcPr>
            <w:tcW w:w="0" w:type="dxa"/>
            <w:vAlign w:val="bottom"/>
          </w:tcPr>
          <w:p>
            <w:pPr>
              <w:spacing w:after="0"/>
              <w:rPr>
                <w:sz w:val="1"/>
                <w:szCs w:val="1"/>
                <w:color w:val="auto"/>
              </w:rPr>
            </w:pPr>
          </w:p>
        </w:tc>
      </w:tr>
      <w:tr>
        <w:trPr>
          <w:trHeight w:val="197"/>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accelerated earlier</w:t>
            </w:r>
          </w:p>
        </w:tc>
        <w:tc>
          <w:tcPr>
            <w:tcW w:w="1520" w:type="dxa"/>
            <w:vAlign w:val="bottom"/>
            <w:vMerge w:val="continue"/>
            <w:shd w:val="clear" w:color="auto" w:fill="CCEEFF"/>
          </w:tcPr>
          <w:p>
            <w:pPr>
              <w:spacing w:after="0"/>
              <w:rPr>
                <w:sz w:val="17"/>
                <w:szCs w:val="17"/>
                <w:color w:val="auto"/>
              </w:rPr>
            </w:pPr>
          </w:p>
        </w:tc>
        <w:tc>
          <w:tcPr>
            <w:tcW w:w="1780" w:type="dxa"/>
            <w:vAlign w:val="bottom"/>
            <w:vMerge w:val="continue"/>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1720" w:type="dxa"/>
            <w:vAlign w:val="bottom"/>
            <w:vMerge w:val="continue"/>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Trust common stock</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$217</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$464</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$619</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$1,670</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$928</w:t>
            </w:r>
          </w:p>
        </w:tc>
        <w:tc>
          <w:tcPr>
            <w:tcW w:w="0" w:type="dxa"/>
            <w:vAlign w:val="bottom"/>
          </w:tcPr>
          <w:p>
            <w:pPr>
              <w:spacing w:after="0"/>
              <w:rPr>
                <w:sz w:val="1"/>
                <w:szCs w:val="1"/>
                <w:color w:val="auto"/>
              </w:rPr>
            </w:pPr>
          </w:p>
        </w:tc>
      </w:tr>
      <w:tr>
        <w:trPr>
          <w:trHeight w:val="147"/>
        </w:trPr>
        <w:tc>
          <w:tcPr>
            <w:tcW w:w="3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Interest rate, per annum</w:t>
            </w:r>
          </w:p>
        </w:tc>
        <w:tc>
          <w:tcPr>
            <w:tcW w:w="152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Three-Month</w:t>
            </w:r>
          </w:p>
        </w:tc>
        <w:tc>
          <w:tcPr>
            <w:tcW w:w="178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Three-Month</w:t>
            </w:r>
          </w:p>
        </w:tc>
        <w:tc>
          <w:tcPr>
            <w:tcW w:w="158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Three-Month</w:t>
            </w:r>
          </w:p>
        </w:tc>
        <w:tc>
          <w:tcPr>
            <w:tcW w:w="172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Three-Month</w:t>
            </w:r>
          </w:p>
        </w:tc>
        <w:tc>
          <w:tcPr>
            <w:tcW w:w="158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Three-Month</w:t>
            </w:r>
          </w:p>
        </w:tc>
        <w:tc>
          <w:tcPr>
            <w:tcW w:w="0" w:type="dxa"/>
            <w:vAlign w:val="bottom"/>
          </w:tcPr>
          <w:p>
            <w:pPr>
              <w:spacing w:after="0"/>
              <w:rPr>
                <w:sz w:val="1"/>
                <w:szCs w:val="1"/>
                <w:color w:val="auto"/>
              </w:rPr>
            </w:pPr>
          </w:p>
        </w:tc>
      </w:tr>
      <w:tr>
        <w:trPr>
          <w:trHeight w:val="144"/>
        </w:trPr>
        <w:tc>
          <w:tcPr>
            <w:tcW w:w="3040" w:type="dxa"/>
            <w:vAlign w:val="bottom"/>
            <w:shd w:val="clear" w:color="auto" w:fill="CCEEFF"/>
          </w:tcPr>
          <w:p>
            <w:pPr>
              <w:spacing w:after="0"/>
              <w:rPr>
                <w:sz w:val="12"/>
                <w:szCs w:val="12"/>
                <w:color w:val="auto"/>
              </w:rPr>
            </w:pPr>
          </w:p>
        </w:tc>
        <w:tc>
          <w:tcPr>
            <w:tcW w:w="152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rPr>
              <w:t>SOFR plus</w:t>
            </w:r>
          </w:p>
        </w:tc>
        <w:tc>
          <w:tcPr>
            <w:tcW w:w="178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rPr>
              <w:t>SOFR plus</w:t>
            </w:r>
          </w:p>
        </w:tc>
        <w:tc>
          <w:tcPr>
            <w:tcW w:w="158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rPr>
              <w:t>SOFR plus</w:t>
            </w:r>
          </w:p>
        </w:tc>
        <w:tc>
          <w:tcPr>
            <w:tcW w:w="172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rPr>
              <w:t>SOFR plus</w:t>
            </w:r>
          </w:p>
        </w:tc>
        <w:tc>
          <w:tcPr>
            <w:tcW w:w="158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rPr>
              <w:t>SOFR plus</w:t>
            </w:r>
          </w:p>
        </w:tc>
        <w:tc>
          <w:tcPr>
            <w:tcW w:w="0" w:type="dxa"/>
            <w:vAlign w:val="bottom"/>
          </w:tcPr>
          <w:p>
            <w:pPr>
              <w:spacing w:after="0"/>
              <w:rPr>
                <w:sz w:val="1"/>
                <w:szCs w:val="1"/>
                <w:color w:val="auto"/>
              </w:rPr>
            </w:pPr>
          </w:p>
        </w:tc>
      </w:tr>
      <w:tr>
        <w:trPr>
          <w:trHeight w:val="202"/>
        </w:trPr>
        <w:tc>
          <w:tcPr>
            <w:tcW w:w="304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All of the junior subordinated debt is currently redeemable at 100.0% of the unpaid principal amount at our option.</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junior subordinated debt contains certain covenants with which we are in compliance as of December 31, 2024.</w:t>
      </w:r>
    </w:p>
    <w:p>
      <w:pPr>
        <w:spacing w:after="0" w:line="115" w:lineRule="exact"/>
        <w:rPr>
          <w:sz w:val="20"/>
          <w:szCs w:val="20"/>
          <w:color w:val="auto"/>
        </w:rPr>
      </w:pPr>
    </w:p>
    <w:p>
      <w:pPr>
        <w:ind w:right="120" w:firstLine="363"/>
        <w:spacing w:after="0" w:line="264" w:lineRule="auto"/>
        <w:rPr>
          <w:sz w:val="20"/>
          <w:szCs w:val="20"/>
          <w:color w:val="auto"/>
        </w:rPr>
      </w:pPr>
      <w:r>
        <w:rPr>
          <w:rFonts w:ascii="Times New Roman" w:cs="Times New Roman" w:eastAsia="Times New Roman" w:hAnsi="Times New Roman"/>
          <w:sz w:val="18"/>
          <w:szCs w:val="18"/>
          <w:color w:val="auto"/>
        </w:rPr>
        <w:t>At December 31, 2024 and December 31, 2023, the Company's leverage ratio was 26.6% and 26.0%, respectively. The leverage ratio is defined in our senior credit agreements as the ratio of adjusted consolidated debt to total capital. Adjusted consolidated debt treats trust preferred securities as equity capital up to 15% of total capital. Total capital is defined as total debt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tangible equity excluding accumulated other comprehensive income. The maximum leverage ratio permitted by the agreements is 35.0%.</w:t>
      </w:r>
    </w:p>
    <w:p>
      <w:pPr>
        <w:spacing w:after="0" w:line="115" w:lineRule="exact"/>
        <w:rPr>
          <w:sz w:val="20"/>
          <w:szCs w:val="20"/>
          <w:color w:val="auto"/>
        </w:rPr>
      </w:pPr>
    </w:p>
    <w:p>
      <w:pPr>
        <w:ind w:firstLine="363"/>
        <w:spacing w:after="0" w:line="280" w:lineRule="auto"/>
        <w:rPr>
          <w:sz w:val="20"/>
          <w:szCs w:val="20"/>
          <w:color w:val="auto"/>
        </w:rPr>
      </w:pPr>
      <w:r>
        <w:rPr>
          <w:rFonts w:ascii="Times New Roman" w:cs="Times New Roman" w:eastAsia="Times New Roman" w:hAnsi="Times New Roman"/>
          <w:sz w:val="18"/>
          <w:szCs w:val="18"/>
          <w:color w:val="auto"/>
        </w:rPr>
        <w:t>James River Insurance has access to certain credit products including advances through its membership in the Federal Home Loan Bank. Any advances would be in the form of collateralized short-term borrowings not to exceed 30% of the Company's total assets.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Reinsurance</w:t>
      </w:r>
    </w:p>
    <w:p>
      <w:pPr>
        <w:spacing w:after="0" w:line="119" w:lineRule="exact"/>
        <w:rPr>
          <w:sz w:val="20"/>
          <w:szCs w:val="20"/>
          <w:color w:val="auto"/>
        </w:rPr>
      </w:pPr>
    </w:p>
    <w:p>
      <w:pPr>
        <w:ind w:right="60" w:firstLine="363"/>
        <w:spacing w:after="0" w:line="253" w:lineRule="auto"/>
        <w:rPr>
          <w:sz w:val="20"/>
          <w:szCs w:val="20"/>
          <w:color w:val="auto"/>
        </w:rPr>
      </w:pPr>
      <w:r>
        <w:rPr>
          <w:rFonts w:ascii="Times New Roman" w:cs="Times New Roman" w:eastAsia="Times New Roman" w:hAnsi="Times New Roman"/>
          <w:sz w:val="18"/>
          <w:szCs w:val="18"/>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proportional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proportional quota share reinsurance, the reinsurer agrees to assume a specified percentage of the ceding company’s losses arising out of a defined class of business in exchange for a corresponding percentage of premiums. The Company also utilizes facultative reinsurance to reduce the amount of exposure it retains on individual accounts according to its guidelines for accepting risk across various industry segments, locations and types of exposure. For the years ended December 31, 2024, 2023, and 2022 our net premium retention was 40.6%, 46.0% and 47.1%, respectively.</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Excess and Surplus Lines segment’s ceded reinsurance in place as of December 31,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Line of Business</w:t>
            </w:r>
          </w:p>
        </w:tc>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Company Retention</w:t>
            </w:r>
          </w:p>
        </w:tc>
      </w:tr>
      <w:tr>
        <w:trPr>
          <w:trHeight w:val="25"/>
        </w:trPr>
        <w:tc>
          <w:tcPr>
            <w:tcW w:w="37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7100" w:type="dxa"/>
            <w:vAlign w:val="bottom"/>
            <w:tcBorders>
              <w:bottom w:val="single" w:sz="8" w:color="auto"/>
            </w:tcBorders>
          </w:tcPr>
          <w:p>
            <w:pPr>
              <w:spacing w:after="0"/>
              <w:rPr>
                <w:sz w:val="2"/>
                <w:szCs w:val="2"/>
                <w:color w:val="auto"/>
              </w:rPr>
            </w:pPr>
          </w:p>
        </w:tc>
      </w:tr>
      <w:tr>
        <w:trPr>
          <w:trHeight w:val="222"/>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Casualty</w:t>
            </w:r>
          </w:p>
        </w:tc>
        <w:tc>
          <w:tcPr>
            <w:tcW w:w="340" w:type="dxa"/>
            <w:vAlign w:val="bottom"/>
          </w:tcPr>
          <w:p>
            <w:pPr>
              <w:spacing w:after="0"/>
              <w:rPr>
                <w:sz w:val="19"/>
                <w:szCs w:val="19"/>
                <w:color w:val="auto"/>
              </w:rPr>
            </w:pPr>
          </w:p>
        </w:tc>
        <w:tc>
          <w:tcPr>
            <w:tcW w:w="7100" w:type="dxa"/>
            <w:vAlign w:val="bottom"/>
          </w:tcPr>
          <w:p>
            <w:pPr>
              <w:spacing w:after="0"/>
              <w:rPr>
                <w:sz w:val="19"/>
                <w:szCs w:val="19"/>
                <w:color w:val="auto"/>
              </w:rPr>
            </w:pPr>
          </w:p>
        </w:tc>
      </w:tr>
      <w:tr>
        <w:trPr>
          <w:trHeight w:val="228"/>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Casualty</w:t>
            </w:r>
          </w:p>
        </w:tc>
        <w:tc>
          <w:tcPr>
            <w:tcW w:w="71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Up to $3.2 million per occurrence.</w:t>
            </w:r>
            <w:r>
              <w:rPr>
                <w:rFonts w:ascii="Times New Roman" w:cs="Times New Roman" w:eastAsia="Times New Roman" w:hAnsi="Times New Roman"/>
                <w:sz w:val="23"/>
                <w:szCs w:val="23"/>
                <w:color w:val="auto"/>
                <w:vertAlign w:val="superscript"/>
              </w:rPr>
              <w:t>(1)</w:t>
            </w:r>
          </w:p>
        </w:tc>
      </w:tr>
      <w:tr>
        <w:trPr>
          <w:trHeight w:val="228"/>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Primary Casualty</w:t>
            </w:r>
          </w:p>
        </w:tc>
        <w:tc>
          <w:tcPr>
            <w:tcW w:w="710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Up to $1.38 million per occurrence.</w:t>
            </w:r>
            <w:r>
              <w:rPr>
                <w:rFonts w:ascii="Times New Roman" w:cs="Times New Roman" w:eastAsia="Times New Roman" w:hAnsi="Times New Roman"/>
                <w:sz w:val="23"/>
                <w:szCs w:val="23"/>
                <w:color w:val="auto"/>
                <w:vertAlign w:val="superscript"/>
              </w:rPr>
              <w:t>(2)</w:t>
            </w:r>
          </w:p>
        </w:tc>
      </w:tr>
      <w:tr>
        <w:trPr>
          <w:trHeight w:val="228"/>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Excess Casualty</w:t>
            </w:r>
          </w:p>
        </w:tc>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$1.98 million per occurrence.</w:t>
            </w:r>
          </w:p>
        </w:tc>
      </w:tr>
      <w:tr>
        <w:trPr>
          <w:trHeight w:val="228"/>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7100" w:type="dxa"/>
            <w:vAlign w:val="bottom"/>
          </w:tcPr>
          <w:p>
            <w:pPr>
              <w:spacing w:after="0"/>
              <w:rPr>
                <w:sz w:val="19"/>
                <w:szCs w:val="19"/>
                <w:color w:val="auto"/>
              </w:rPr>
            </w:pPr>
          </w:p>
        </w:tc>
      </w:tr>
      <w:tr>
        <w:trPr>
          <w:trHeight w:val="228"/>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Excess Property</w:t>
            </w:r>
          </w:p>
        </w:tc>
        <w:tc>
          <w:tcPr>
            <w:tcW w:w="71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Up to $5.0 million per risk.</w:t>
            </w:r>
            <w:r>
              <w:rPr>
                <w:rFonts w:ascii="Times New Roman" w:cs="Times New Roman" w:eastAsia="Times New Roman" w:hAnsi="Times New Roman"/>
                <w:sz w:val="23"/>
                <w:szCs w:val="23"/>
                <w:color w:val="auto"/>
                <w:vertAlign w:val="superscript"/>
              </w:rPr>
              <w:t>(3)</w:t>
            </w:r>
          </w:p>
        </w:tc>
      </w:tr>
    </w:tbl>
    <w:p>
      <w:pPr>
        <w:spacing w:after="0" w:line="181" w:lineRule="exact"/>
        <w:rPr>
          <w:sz w:val="20"/>
          <w:szCs w:val="20"/>
          <w:color w:val="auto"/>
        </w:rPr>
      </w:pPr>
    </w:p>
    <w:p>
      <w:pPr>
        <w:ind w:left="400" w:hanging="393"/>
        <w:spacing w:after="0"/>
        <w:tabs>
          <w:tab w:leader="none" w:pos="40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Excluding Excess Casualty.</w:t>
      </w:r>
    </w:p>
    <w:p>
      <w:pPr>
        <w:spacing w:after="0" w:line="28" w:lineRule="exact"/>
        <w:rPr>
          <w:rFonts w:ascii="Times New Roman" w:cs="Times New Roman" w:eastAsia="Times New Roman" w:hAnsi="Times New Roman"/>
          <w:sz w:val="18"/>
          <w:szCs w:val="18"/>
          <w:i w:val="1"/>
          <w:iCs w:val="1"/>
          <w:color w:val="auto"/>
        </w:rPr>
      </w:pPr>
    </w:p>
    <w:p>
      <w:pPr>
        <w:ind w:left="400" w:hanging="393"/>
        <w:spacing w:after="0"/>
        <w:tabs>
          <w:tab w:leader="none" w:pos="40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exposure to any one claim is generally $694,000.</w:t>
      </w:r>
    </w:p>
    <w:p>
      <w:pPr>
        <w:spacing w:after="0" w:line="8" w:lineRule="exact"/>
        <w:rPr>
          <w:rFonts w:ascii="Times New Roman" w:cs="Times New Roman" w:eastAsia="Times New Roman" w:hAnsi="Times New Roman"/>
          <w:sz w:val="18"/>
          <w:szCs w:val="18"/>
          <w:i w:val="1"/>
          <w:iCs w:val="1"/>
          <w:color w:val="auto"/>
        </w:rPr>
      </w:pPr>
    </w:p>
    <w:p>
      <w:pPr>
        <w:ind w:left="400" w:hanging="393"/>
        <w:spacing w:after="0"/>
        <w:tabs>
          <w:tab w:leader="none" w:pos="40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property catastrophe reinsurance treaty has a limit of $20.0 million per event with one reinstatement.</w:t>
      </w:r>
    </w:p>
    <w:p>
      <w:pPr>
        <w:spacing w:after="0" w:line="151" w:lineRule="exact"/>
        <w:rPr>
          <w:sz w:val="20"/>
          <w:szCs w:val="20"/>
          <w:color w:val="auto"/>
        </w:rPr>
      </w:pPr>
    </w:p>
    <w:p>
      <w:pPr>
        <w:jc w:val="both"/>
        <w:ind w:right="220" w:firstLine="363"/>
        <w:spacing w:after="0" w:line="287" w:lineRule="auto"/>
        <w:rPr>
          <w:sz w:val="20"/>
          <w:szCs w:val="20"/>
          <w:color w:val="auto"/>
        </w:rPr>
      </w:pPr>
      <w:r>
        <w:rPr>
          <w:rFonts w:ascii="Times New Roman" w:cs="Times New Roman" w:eastAsia="Times New Roman" w:hAnsi="Times New Roman"/>
          <w:sz w:val="17"/>
          <w:szCs w:val="17"/>
          <w:color w:val="auto"/>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spacing w:after="0" w:line="51" w:lineRule="exact"/>
        <w:rPr>
          <w:sz w:val="20"/>
          <w:szCs w:val="20"/>
          <w:color w:val="auto"/>
        </w:rPr>
      </w:pPr>
    </w:p>
    <w:p>
      <w:pPr>
        <w:ind w:right="120" w:firstLine="363"/>
        <w:spacing w:after="0" w:line="264" w:lineRule="auto"/>
        <w:rPr>
          <w:sz w:val="20"/>
          <w:szCs w:val="20"/>
          <w:color w:val="auto"/>
        </w:rPr>
      </w:pPr>
      <w:r>
        <w:rPr>
          <w:rFonts w:ascii="Times New Roman" w:cs="Times New Roman" w:eastAsia="Times New Roman" w:hAnsi="Times New Roman"/>
          <w:sz w:val="18"/>
          <w:szCs w:val="18"/>
          <w:color w:val="auto"/>
        </w:rPr>
        <w:t>In our Excess and Surplus Lines segment, we write a small book of excess property insurance, but we do not write primary property insurance. The Excess and Surplus Lines segment has a specific proportional quota share treaty in effect to cover property risks. The proportional quota share treaty along with facultative reinsurance helps ensure that our net retained limit per risk will be $5.0 million or less.</w:t>
      </w:r>
    </w:p>
    <w:p>
      <w:pPr>
        <w:spacing w:after="0" w:line="69" w:lineRule="exact"/>
        <w:rPr>
          <w:sz w:val="20"/>
          <w:szCs w:val="20"/>
          <w:color w:val="auto"/>
        </w:rPr>
      </w:pPr>
    </w:p>
    <w:p>
      <w:pPr>
        <w:ind w:right="520" w:firstLine="363"/>
        <w:spacing w:after="0" w:line="280" w:lineRule="auto"/>
        <w:rPr>
          <w:sz w:val="20"/>
          <w:szCs w:val="20"/>
          <w:color w:val="auto"/>
        </w:rPr>
      </w:pPr>
      <w:r>
        <w:rPr>
          <w:rFonts w:ascii="Times New Roman" w:cs="Times New Roman" w:eastAsia="Times New Roman" w:hAnsi="Times New Roman"/>
          <w:sz w:val="18"/>
          <w:szCs w:val="18"/>
          <w:color w:val="auto"/>
        </w:rPr>
        <w:t>Also in our Excess and Surplus Lines segment, a specialty casualty treaty providing $9.0 million in excess of $2.0 million coverage is subject to reinstatement premiums for treaty years spanning July 1, 2017 through July 1, 2022.</w:t>
      </w:r>
    </w:p>
    <w:p>
      <w:pPr>
        <w:spacing w:after="0" w:line="55" w:lineRule="exact"/>
        <w:rPr>
          <w:sz w:val="20"/>
          <w:szCs w:val="20"/>
          <w:color w:val="auto"/>
        </w:rPr>
      </w:pPr>
    </w:p>
    <w:p>
      <w:pPr>
        <w:ind w:right="140" w:firstLine="363"/>
        <w:spacing w:after="0" w:line="259" w:lineRule="auto"/>
        <w:rPr>
          <w:sz w:val="20"/>
          <w:szCs w:val="20"/>
          <w:color w:val="auto"/>
        </w:rPr>
      </w:pPr>
      <w:r>
        <w:rPr>
          <w:rFonts w:ascii="Times New Roman" w:cs="Times New Roman" w:eastAsia="Times New Roman" w:hAnsi="Times New Roman"/>
          <w:sz w:val="18"/>
          <w:szCs w:val="18"/>
          <w:color w:val="auto"/>
        </w:rPr>
        <w:t>Based upon the modeling of our Excess and Surplus Lines and Specialty Admitted segments, it would take an event greater than the 1 in 1,000 year PML to exhaust our $20.0 million property catastrophe reinsurance. In the event of a catastrophe loss exhausting our $20.0 million property catastrophe reinsurance, we estimate our pre-tax cost would not exceed 2.5% of shareholders’ equity, including reinstatement premiums and net retentions. In addition to this retention, we would retain any losses in excess of our reinsurance coverage limits.</w:t>
      </w:r>
    </w:p>
    <w:p>
      <w:pPr>
        <w:spacing w:after="0" w:line="74" w:lineRule="exact"/>
        <w:rPr>
          <w:sz w:val="20"/>
          <w:szCs w:val="20"/>
          <w:color w:val="auto"/>
        </w:rPr>
      </w:pPr>
    </w:p>
    <w:p>
      <w:pPr>
        <w:ind w:right="240" w:firstLine="363"/>
        <w:spacing w:after="0" w:line="264" w:lineRule="auto"/>
        <w:rPr>
          <w:sz w:val="20"/>
          <w:szCs w:val="20"/>
          <w:color w:val="auto"/>
        </w:rPr>
      </w:pPr>
      <w:r>
        <w:rPr>
          <w:rFonts w:ascii="Times New Roman" w:cs="Times New Roman" w:eastAsia="Times New Roman" w:hAnsi="Times New Roman"/>
          <w:sz w:val="18"/>
          <w:szCs w:val="18"/>
          <w:color w:val="auto"/>
        </w:rPr>
        <w:t>The Commercial Auto LPT with Aleka reinsures substantially all of the Excess and Surplus Lines segment’s legacy portfolio of commercial auto policies previously issued to Rasier. See “</w:t>
      </w:r>
      <w:r>
        <w:rPr>
          <w:rFonts w:ascii="Times New Roman" w:cs="Times New Roman" w:eastAsia="Times New Roman" w:hAnsi="Times New Roman"/>
          <w:sz w:val="18"/>
          <w:szCs w:val="18"/>
          <w:i w:val="1"/>
          <w:iCs w:val="1"/>
          <w:color w:val="auto"/>
        </w:rPr>
        <w:t>Amounts Recoverable from an Indemnifying Party and Reinsurer on Legacy Commercial Auto Book</w:t>
      </w:r>
      <w:r>
        <w:rPr>
          <w:rFonts w:ascii="Times New Roman" w:cs="Times New Roman" w:eastAsia="Times New Roman" w:hAnsi="Times New Roman"/>
          <w:sz w:val="18"/>
          <w:szCs w:val="18"/>
          <w:color w:val="auto"/>
        </w:rPr>
        <w:t>” below for further information on this reinsurance agreement.</w:t>
      </w:r>
    </w:p>
    <w:p>
      <w:pPr>
        <w:spacing w:after="0" w:line="69" w:lineRule="exact"/>
        <w:rPr>
          <w:sz w:val="20"/>
          <w:szCs w:val="20"/>
          <w:color w:val="auto"/>
        </w:rPr>
      </w:pPr>
    </w:p>
    <w:p>
      <w:pPr>
        <w:ind w:right="300" w:firstLine="323"/>
        <w:spacing w:after="0" w:line="280" w:lineRule="auto"/>
        <w:rPr>
          <w:sz w:val="20"/>
          <w:szCs w:val="20"/>
          <w:color w:val="auto"/>
        </w:rPr>
      </w:pPr>
      <w:r>
        <w:rPr>
          <w:rFonts w:ascii="Times New Roman" w:cs="Times New Roman" w:eastAsia="Times New Roman" w:hAnsi="Times New Roman"/>
          <w:sz w:val="18"/>
          <w:szCs w:val="18"/>
          <w:color w:val="auto"/>
        </w:rPr>
        <w:t>The E&amp;S ADC with State National applies to James River’s Excess &amp; Surplus Lines segment casualty portfolio losses attaching to premium earned during 2010-2023 (both years inclusive), excluding, among others, losses related to commercial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auto policies issued to a former large insured or its affiliates. See “</w:t>
      </w:r>
      <w:r>
        <w:rPr>
          <w:rFonts w:ascii="Times New Roman" w:cs="Times New Roman" w:eastAsia="Times New Roman" w:hAnsi="Times New Roman"/>
          <w:sz w:val="18"/>
          <w:szCs w:val="18"/>
          <w:i w:val="1"/>
          <w:iCs w:val="1"/>
          <w:color w:val="auto"/>
        </w:rPr>
        <w:t>Combined Loss Portfolio Transfer and Adverse Development Cover</w:t>
      </w:r>
      <w:r>
        <w:rPr>
          <w:rFonts w:ascii="Times New Roman" w:cs="Times New Roman" w:eastAsia="Times New Roman" w:hAnsi="Times New Roman"/>
          <w:sz w:val="18"/>
          <w:szCs w:val="18"/>
          <w:color w:val="auto"/>
        </w:rPr>
        <w:t>” above for further information on this reinsurance agreement.</w:t>
      </w:r>
    </w:p>
    <w:p>
      <w:pPr>
        <w:spacing w:after="0" w:line="53" w:lineRule="exact"/>
        <w:rPr>
          <w:sz w:val="20"/>
          <w:szCs w:val="20"/>
          <w:color w:val="auto"/>
        </w:rPr>
      </w:pPr>
    </w:p>
    <w:p>
      <w:pPr>
        <w:ind w:right="20" w:firstLine="323"/>
        <w:spacing w:after="0" w:line="256" w:lineRule="auto"/>
        <w:rPr>
          <w:sz w:val="20"/>
          <w:szCs w:val="20"/>
          <w:color w:val="auto"/>
        </w:rPr>
      </w:pPr>
      <w:r>
        <w:rPr>
          <w:rFonts w:ascii="Times New Roman" w:cs="Times New Roman" w:eastAsia="Times New Roman" w:hAnsi="Times New Roman"/>
          <w:sz w:val="18"/>
          <w:szCs w:val="18"/>
          <w:color w:val="auto"/>
        </w:rPr>
        <w:t>The E&amp;S Top Up ADC with Enstar, through its subsidiary Cavello Bay Reinsurance Limited, reinsures 100% of the losses associated with James River’s Excess &amp; Surplus Lines segment portfolio losses attaching to premium earned during 2010-2023 (both years inclusive). This agreement excludes losses related to commercial auto policies issued to a former large insured or its affiliates. It is subject to a retention by James River of $1,183.7 million (the limit of the E&amp;S ADC) and up to an aggregate limit of $75.0 million. See “</w:t>
      </w:r>
      <w:r>
        <w:rPr>
          <w:rFonts w:ascii="Times New Roman" w:cs="Times New Roman" w:eastAsia="Times New Roman" w:hAnsi="Times New Roman"/>
          <w:sz w:val="18"/>
          <w:szCs w:val="18"/>
          <w:i w:val="1"/>
          <w:iCs w:val="1"/>
          <w:color w:val="auto"/>
        </w:rPr>
        <w:t>Enstar Strategic Partnership</w:t>
      </w:r>
      <w:r>
        <w:rPr>
          <w:rFonts w:ascii="Times New Roman" w:cs="Times New Roman" w:eastAsia="Times New Roman" w:hAnsi="Times New Roman"/>
          <w:sz w:val="18"/>
          <w:szCs w:val="18"/>
          <w:color w:val="auto"/>
        </w:rPr>
        <w:t>” above for further information on this reinsurance agreement.</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Specialty Admitted Insurance segment’s ceded reinsurance in place as of December 31,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Line of Business</w:t>
            </w:r>
          </w:p>
        </w:tc>
        <w:tc>
          <w:tcPr>
            <w:tcW w:w="7420" w:type="dxa"/>
            <w:vAlign w:val="bottom"/>
          </w:tcPr>
          <w:p>
            <w:pPr>
              <w:ind w:left="3420"/>
              <w:spacing w:after="0"/>
              <w:rPr>
                <w:sz w:val="20"/>
                <w:szCs w:val="20"/>
                <w:color w:val="auto"/>
              </w:rPr>
            </w:pPr>
            <w:r>
              <w:rPr>
                <w:rFonts w:ascii="Times New Roman" w:cs="Times New Roman" w:eastAsia="Times New Roman" w:hAnsi="Times New Roman"/>
                <w:sz w:val="14"/>
                <w:szCs w:val="14"/>
                <w:b w:val="1"/>
                <w:bCs w:val="1"/>
                <w:color w:val="auto"/>
              </w:rPr>
              <w:t>Coverage</w:t>
            </w:r>
          </w:p>
        </w:tc>
      </w:tr>
      <w:tr>
        <w:trPr>
          <w:trHeight w:val="25"/>
        </w:trPr>
        <w:tc>
          <w:tcPr>
            <w:tcW w:w="33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r>
      <w:tr>
        <w:trPr>
          <w:trHeight w:val="222"/>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Casualty</w:t>
            </w:r>
          </w:p>
        </w:tc>
        <w:tc>
          <w:tcPr>
            <w:tcW w:w="420" w:type="dxa"/>
            <w:vAlign w:val="bottom"/>
          </w:tcPr>
          <w:p>
            <w:pPr>
              <w:spacing w:after="0"/>
              <w:rPr>
                <w:sz w:val="19"/>
                <w:szCs w:val="19"/>
                <w:color w:val="auto"/>
              </w:rPr>
            </w:pPr>
          </w:p>
        </w:tc>
        <w:tc>
          <w:tcPr>
            <w:tcW w:w="7420" w:type="dxa"/>
            <w:vAlign w:val="bottom"/>
          </w:tcPr>
          <w:p>
            <w:pPr>
              <w:spacing w:after="0"/>
              <w:rPr>
                <w:sz w:val="19"/>
                <w:szCs w:val="19"/>
                <w:color w:val="auto"/>
              </w:rPr>
            </w:pPr>
          </w:p>
        </w:tc>
      </w:tr>
      <w:tr>
        <w:trPr>
          <w:trHeight w:val="175"/>
        </w:trPr>
        <w:tc>
          <w:tcPr>
            <w:tcW w:w="3780" w:type="dxa"/>
            <w:vAlign w:val="bottom"/>
            <w:gridSpan w:val="2"/>
            <w:shd w:val="clear" w:color="auto" w:fill="CCEEFF"/>
          </w:tcPr>
          <w:p>
            <w:pPr>
              <w:ind w:left="340"/>
              <w:spacing w:after="0" w:line="175" w:lineRule="exact"/>
              <w:rPr>
                <w:sz w:val="20"/>
                <w:szCs w:val="20"/>
                <w:color w:val="auto"/>
              </w:rPr>
            </w:pPr>
            <w:r>
              <w:rPr>
                <w:rFonts w:ascii="Times New Roman" w:cs="Times New Roman" w:eastAsia="Times New Roman" w:hAnsi="Times New Roman"/>
                <w:sz w:val="18"/>
                <w:szCs w:val="18"/>
                <w:color w:val="auto"/>
              </w:rPr>
              <w:t>Auto Programs</w:t>
            </w:r>
          </w:p>
        </w:tc>
        <w:tc>
          <w:tcPr>
            <w:tcW w:w="74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Quota share coverage for 62.5%-100% of limits up to $1.5 million liability and $1.5 million physical</w:t>
            </w:r>
          </w:p>
        </w:tc>
      </w:tr>
      <w:tr>
        <w:trPr>
          <w:trHeight w:val="242"/>
        </w:trPr>
        <w:tc>
          <w:tcPr>
            <w:tcW w:w="3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damage per occurrence.</w:t>
            </w:r>
          </w:p>
        </w:tc>
      </w:tr>
      <w:tr>
        <w:trPr>
          <w:trHeight w:val="175"/>
        </w:trPr>
        <w:tc>
          <w:tcPr>
            <w:tcW w:w="3780" w:type="dxa"/>
            <w:vAlign w:val="bottom"/>
            <w:gridSpan w:val="2"/>
          </w:tcPr>
          <w:p>
            <w:pPr>
              <w:ind w:left="340"/>
              <w:spacing w:after="0" w:line="175" w:lineRule="exact"/>
              <w:rPr>
                <w:sz w:val="20"/>
                <w:szCs w:val="20"/>
                <w:color w:val="auto"/>
              </w:rPr>
            </w:pPr>
            <w:r>
              <w:rPr>
                <w:rFonts w:ascii="Times New Roman" w:cs="Times New Roman" w:eastAsia="Times New Roman" w:hAnsi="Times New Roman"/>
                <w:sz w:val="18"/>
                <w:szCs w:val="18"/>
                <w:color w:val="auto"/>
              </w:rPr>
              <w:t>General Liability &amp; Professional</w:t>
            </w:r>
          </w:p>
        </w:tc>
        <w:tc>
          <w:tcPr>
            <w:tcW w:w="742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Quota share coverage for 62.5%-100% of limits up to $2.0 million per occurrence.</w:t>
            </w:r>
          </w:p>
        </w:tc>
      </w:tr>
      <w:tr>
        <w:trPr>
          <w:trHeight w:val="238"/>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Liability – Programs</w:t>
            </w:r>
          </w:p>
        </w:tc>
        <w:tc>
          <w:tcPr>
            <w:tcW w:w="7420" w:type="dxa"/>
            <w:vAlign w:val="bottom"/>
          </w:tcPr>
          <w:p>
            <w:pPr>
              <w:spacing w:after="0"/>
              <w:rPr>
                <w:sz w:val="20"/>
                <w:szCs w:val="20"/>
                <w:color w:val="auto"/>
              </w:rPr>
            </w:pPr>
          </w:p>
        </w:tc>
      </w:tr>
      <w:tr>
        <w:trPr>
          <w:trHeight w:val="179"/>
        </w:trPr>
        <w:tc>
          <w:tcPr>
            <w:tcW w:w="3780" w:type="dxa"/>
            <w:vAlign w:val="bottom"/>
            <w:gridSpan w:val="2"/>
            <w:shd w:val="clear" w:color="auto" w:fill="CCEEFF"/>
          </w:tcPr>
          <w:p>
            <w:pPr>
              <w:ind w:left="340"/>
              <w:spacing w:after="0" w:line="179" w:lineRule="exact"/>
              <w:rPr>
                <w:sz w:val="20"/>
                <w:szCs w:val="20"/>
                <w:color w:val="auto"/>
              </w:rPr>
            </w:pPr>
            <w:r>
              <w:rPr>
                <w:rFonts w:ascii="Times New Roman" w:cs="Times New Roman" w:eastAsia="Times New Roman" w:hAnsi="Times New Roman"/>
                <w:sz w:val="18"/>
                <w:szCs w:val="18"/>
                <w:color w:val="auto"/>
              </w:rPr>
              <w:t>Umbrella and Excess Casualty -</w:t>
            </w:r>
          </w:p>
        </w:tc>
        <w:tc>
          <w:tcPr>
            <w:tcW w:w="74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Quota share coverage for at least 85% of limits up to $10.0 million per occurrence, and 82% of excess</w:t>
            </w:r>
          </w:p>
        </w:tc>
      </w:tr>
      <w:tr>
        <w:trPr>
          <w:trHeight w:val="242"/>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Programs</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loss coverage for $5.0 million in excess of $10.0 million.</w:t>
            </w:r>
          </w:p>
        </w:tc>
      </w:tr>
      <w:tr>
        <w:trPr>
          <w:trHeight w:val="228"/>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7420" w:type="dxa"/>
            <w:vAlign w:val="bottom"/>
          </w:tcPr>
          <w:p>
            <w:pPr>
              <w:spacing w:after="0"/>
              <w:rPr>
                <w:sz w:val="19"/>
                <w:szCs w:val="19"/>
                <w:color w:val="auto"/>
              </w:rPr>
            </w:pPr>
          </w:p>
        </w:tc>
      </w:tr>
      <w:tr>
        <w:trPr>
          <w:trHeight w:val="228"/>
        </w:trPr>
        <w:tc>
          <w:tcPr>
            <w:tcW w:w="3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within Package - Programs</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Quota share coverage for 100% of limits up to $40.0 million per risk.</w:t>
            </w:r>
          </w:p>
        </w:tc>
      </w:tr>
      <w:tr>
        <w:trPr>
          <w:trHeight w:val="228"/>
        </w:trPr>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Excess Property</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Quota share coverage for 100% of limits up to $53.0 million per occurrence.</w:t>
            </w:r>
          </w:p>
        </w:tc>
      </w:tr>
      <w:tr>
        <w:trPr>
          <w:trHeight w:val="210"/>
        </w:trPr>
        <w:tc>
          <w:tcPr>
            <w:tcW w:w="3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Aviation Programs</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Quota share coverage for 82.5% of limits up to $25 million liability, $5.0 million hull, and $5.0</w:t>
            </w:r>
          </w:p>
        </w:tc>
      </w:tr>
      <w:tr>
        <w:trPr>
          <w:trHeight w:val="215"/>
        </w:trPr>
        <w:tc>
          <w:tcPr>
            <w:tcW w:w="3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 spares per occurrence, each aircraft; and excess of loss coverage for up to $7.7 million excess</w:t>
            </w:r>
          </w:p>
        </w:tc>
      </w:tr>
      <w:tr>
        <w:trPr>
          <w:trHeight w:val="247"/>
        </w:trPr>
        <w:tc>
          <w:tcPr>
            <w:tcW w:w="3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$175,000 of our 17.5% share of the quota share each occurrence.</w:t>
            </w:r>
          </w:p>
        </w:tc>
      </w:tr>
    </w:tbl>
    <w:p>
      <w:pPr>
        <w:spacing w:after="0" w:line="183" w:lineRule="exact"/>
        <w:rPr>
          <w:sz w:val="20"/>
          <w:szCs w:val="20"/>
          <w:color w:val="auto"/>
        </w:rPr>
      </w:pPr>
    </w:p>
    <w:p>
      <w:pPr>
        <w:ind w:right="40" w:firstLine="363"/>
        <w:spacing w:after="0" w:line="264" w:lineRule="auto"/>
        <w:rPr>
          <w:sz w:val="20"/>
          <w:szCs w:val="20"/>
          <w:color w:val="auto"/>
        </w:rPr>
      </w:pPr>
      <w:r>
        <w:rPr>
          <w:rFonts w:ascii="Times New Roman" w:cs="Times New Roman" w:eastAsia="Times New Roman" w:hAnsi="Times New Roman"/>
          <w:sz w:val="18"/>
          <w:szCs w:val="18"/>
          <w:color w:val="auto"/>
        </w:rPr>
        <w:t>Our Specialty Admitted Insurance segment purchases reinsurance for at least 62.5% of the exposed limits on specialty admitted property-casualty business. While the segment focuses on casualty business, incidental property risk is incurred in the fronting and program business. The segment is covered for $20.0 million in excess of $5.0 million per occurrence to manage its property exposure to an approximate 1 in 1,000 year PML.</w:t>
      </w:r>
    </w:p>
    <w:p>
      <w:pPr>
        <w:spacing w:after="0" w:line="69" w:lineRule="exact"/>
        <w:rPr>
          <w:sz w:val="20"/>
          <w:szCs w:val="20"/>
          <w:color w:val="auto"/>
        </w:rPr>
      </w:pPr>
    </w:p>
    <w:p>
      <w:pPr>
        <w:ind w:right="380" w:firstLine="363"/>
        <w:spacing w:after="0" w:line="280" w:lineRule="auto"/>
        <w:rPr>
          <w:sz w:val="20"/>
          <w:szCs w:val="20"/>
          <w:color w:val="auto"/>
        </w:rPr>
      </w:pPr>
      <w:r>
        <w:rPr>
          <w:rFonts w:ascii="Times New Roman" w:cs="Times New Roman" w:eastAsia="Times New Roman" w:hAnsi="Times New Roman"/>
          <w:sz w:val="18"/>
          <w:szCs w:val="18"/>
          <w:color w:val="auto"/>
        </w:rPr>
        <w:t>For individual risk workers' compensation business, now in runoff, we purchased $29.5 million excess of $500,000 per occurrence. This coverage expired on December 31, 2023.</w:t>
      </w:r>
    </w:p>
    <w:p>
      <w:pPr>
        <w:spacing w:after="0" w:line="55" w:lineRule="exact"/>
        <w:rPr>
          <w:sz w:val="20"/>
          <w:szCs w:val="20"/>
          <w:color w:val="auto"/>
        </w:rPr>
      </w:pPr>
    </w:p>
    <w:p>
      <w:pPr>
        <w:ind w:right="180" w:firstLine="363"/>
        <w:spacing w:after="0" w:line="280" w:lineRule="auto"/>
        <w:rPr>
          <w:sz w:val="20"/>
          <w:szCs w:val="20"/>
          <w:color w:val="auto"/>
        </w:rPr>
      </w:pPr>
      <w:r>
        <w:rPr>
          <w:rFonts w:ascii="Times New Roman" w:cs="Times New Roman" w:eastAsia="Times New Roman" w:hAnsi="Times New Roman"/>
          <w:sz w:val="18"/>
          <w:szCs w:val="18"/>
          <w:color w:val="auto"/>
        </w:rPr>
        <w:t>In the aggregate, we believe our pre-tax group-wide PML from a 1 in 1,000 year property catastrophe event would not exceed 2.5% of shareholders’ equity, inclusive of reinstatement premiums payable.</w:t>
      </w:r>
    </w:p>
    <w:p>
      <w:pPr>
        <w:spacing w:after="0" w:line="55" w:lineRule="exact"/>
        <w:rPr>
          <w:sz w:val="20"/>
          <w:szCs w:val="20"/>
          <w:color w:val="auto"/>
        </w:rPr>
      </w:pPr>
    </w:p>
    <w:p>
      <w:pPr>
        <w:ind w:firstLine="363"/>
        <w:spacing w:after="0" w:line="252" w:lineRule="auto"/>
        <w:rPr>
          <w:sz w:val="20"/>
          <w:szCs w:val="20"/>
          <w:color w:val="auto"/>
        </w:rPr>
      </w:pPr>
      <w:r>
        <w:rPr>
          <w:rFonts w:ascii="Times New Roman" w:cs="Times New Roman" w:eastAsia="Times New Roman" w:hAnsi="Times New Roman"/>
          <w:sz w:val="18"/>
          <w:szCs w:val="18"/>
          <w:color w:val="auto"/>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December 31, 2024, the allowance for credit losses on reinsurance recoverables was $1.2 million.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require collateral, in the form of a trust arrangement or letter of credit, to secure the obligations of the insurance entity for whom we are fronting.</w:t>
      </w:r>
    </w:p>
    <w:p>
      <w:pPr>
        <w:spacing w:after="0" w:line="84" w:lineRule="exact"/>
        <w:rPr>
          <w:sz w:val="20"/>
          <w:szCs w:val="20"/>
          <w:color w:val="auto"/>
        </w:rPr>
      </w:pPr>
    </w:p>
    <w:p>
      <w:pPr>
        <w:ind w:right="240" w:firstLine="363"/>
        <w:spacing w:after="0" w:line="264" w:lineRule="auto"/>
        <w:rPr>
          <w:sz w:val="20"/>
          <w:szCs w:val="20"/>
          <w:color w:val="auto"/>
        </w:rPr>
      </w:pPr>
      <w:r>
        <w:rPr>
          <w:rFonts w:ascii="Times New Roman" w:cs="Times New Roman" w:eastAsia="Times New Roman" w:hAnsi="Times New Roman"/>
          <w:sz w:val="18"/>
          <w:szCs w:val="18"/>
          <w:color w:val="auto"/>
        </w:rPr>
        <w:t>At December 31, 2024, we had reinsurance recoverables on unpaid losses of $1,996.9 million (net of a $1.2 million allowance for credit losses) and reinsurance recoverables on paid losses of $101.2 million, and all material recoverable amounts were from companies with A.M. Best ratings of “A-" (Excellent) or better, or are collateralized by the reinsurer for our benefit through letters of credit or funds on deposit in trust accounts.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540" w:firstLine="363"/>
        <w:spacing w:after="0" w:line="280" w:lineRule="auto"/>
        <w:rPr>
          <w:sz w:val="20"/>
          <w:szCs w:val="20"/>
          <w:color w:val="auto"/>
        </w:rPr>
      </w:pPr>
      <w:r>
        <w:rPr>
          <w:rFonts w:ascii="Times New Roman" w:cs="Times New Roman" w:eastAsia="Times New Roman" w:hAnsi="Times New Roman"/>
          <w:sz w:val="18"/>
          <w:szCs w:val="18"/>
          <w:color w:val="auto"/>
        </w:rPr>
        <w:t>The following table sets forth our most significant reinsurers by amount of reinsurance recoverables and the amount of reinsurance recoverables pertaining to each such reinsurer as well as its A.M. Best rating as of December 31, 2024: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Reinsurance</w:t>
            </w:r>
          </w:p>
        </w:tc>
        <w:tc>
          <w:tcPr>
            <w:tcW w:w="12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 Best Rating</w:t>
            </w:r>
          </w:p>
        </w:tc>
        <w:tc>
          <w:tcPr>
            <w:tcW w:w="0" w:type="dxa"/>
            <w:vAlign w:val="bottom"/>
          </w:tcPr>
          <w:p>
            <w:pPr>
              <w:spacing w:after="0"/>
              <w:rPr>
                <w:sz w:val="1"/>
                <w:szCs w:val="1"/>
                <w:color w:val="auto"/>
              </w:rPr>
            </w:pPr>
          </w:p>
        </w:tc>
      </w:tr>
      <w:tr>
        <w:trPr>
          <w:trHeight w:val="146"/>
        </w:trPr>
        <w:tc>
          <w:tcPr>
            <w:tcW w:w="8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Reinsurer</w:t>
            </w:r>
          </w:p>
        </w:tc>
        <w:tc>
          <w:tcPr>
            <w:tcW w:w="160" w:type="dxa"/>
            <w:vAlign w:val="bottom"/>
          </w:tcPr>
          <w:p>
            <w:pPr>
              <w:spacing w:after="0"/>
              <w:rPr>
                <w:sz w:val="12"/>
                <w:szCs w:val="12"/>
                <w:color w:val="auto"/>
              </w:rPr>
            </w:pPr>
          </w:p>
        </w:tc>
        <w:tc>
          <w:tcPr>
            <w:tcW w:w="140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Recoverable as of</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5"/>
        </w:trPr>
        <w:tc>
          <w:tcPr>
            <w:tcW w:w="8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Swiss Reinsurance America Corporation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398,482</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0" w:type="dxa"/>
            <w:vAlign w:val="bottom"/>
          </w:tcPr>
          <w:p>
            <w:pPr>
              <w:spacing w:after="0"/>
              <w:rPr>
                <w:sz w:val="1"/>
                <w:szCs w:val="1"/>
                <w:color w:val="auto"/>
              </w:rPr>
            </w:pPr>
          </w:p>
        </w:tc>
      </w:tr>
      <w:tr>
        <w:trPr>
          <w:trHeight w:val="228"/>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National Insurance Company (E&amp;S ADC)</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365,549</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0" w:type="dxa"/>
            <w:vAlign w:val="bottom"/>
          </w:tcPr>
          <w:p>
            <w:pPr>
              <w:spacing w:after="0"/>
              <w:rPr>
                <w:sz w:val="1"/>
                <w:szCs w:val="1"/>
                <w:color w:val="auto"/>
              </w:rPr>
            </w:pPr>
          </w:p>
        </w:tc>
      </w:tr>
      <w:tr>
        <w:trPr>
          <w:trHeight w:val="228"/>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Berkley Insurance Company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216,574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0" w:type="dxa"/>
            <w:vAlign w:val="bottom"/>
          </w:tcPr>
          <w:p>
            <w:pPr>
              <w:spacing w:after="0"/>
              <w:rPr>
                <w:sz w:val="1"/>
                <w:szCs w:val="1"/>
                <w:color w:val="auto"/>
              </w:rPr>
            </w:pPr>
          </w:p>
        </w:tc>
      </w:tr>
      <w:tr>
        <w:trPr>
          <w:trHeight w:val="228"/>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Hannover Ruck SE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88,860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0" w:type="dxa"/>
            <w:vAlign w:val="bottom"/>
          </w:tcPr>
          <w:p>
            <w:pPr>
              <w:spacing w:after="0"/>
              <w:rPr>
                <w:sz w:val="1"/>
                <w:szCs w:val="1"/>
                <w:color w:val="auto"/>
              </w:rPr>
            </w:pPr>
          </w:p>
        </w:tc>
      </w:tr>
      <w:tr>
        <w:trPr>
          <w:trHeight w:val="228"/>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Peak Reinsurance Company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0" w:type="dxa"/>
            <w:vAlign w:val="bottom"/>
          </w:tcPr>
          <w:p>
            <w:pPr>
              <w:spacing w:after="0"/>
              <w:rPr>
                <w:sz w:val="1"/>
                <w:szCs w:val="1"/>
                <w:color w:val="auto"/>
              </w:rPr>
            </w:pPr>
          </w:p>
        </w:tc>
      </w:tr>
      <w:tr>
        <w:trPr>
          <w:trHeight w:val="228"/>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Motors Insurance Corporation</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51,389</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0" w:type="dxa"/>
            <w:vAlign w:val="bottom"/>
          </w:tcPr>
          <w:p>
            <w:pPr>
              <w:spacing w:after="0"/>
              <w:rPr>
                <w:sz w:val="1"/>
                <w:szCs w:val="1"/>
                <w:color w:val="auto"/>
              </w:rPr>
            </w:pPr>
          </w:p>
        </w:tc>
      </w:tr>
      <w:tr>
        <w:trPr>
          <w:trHeight w:val="228"/>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Endurance Assurance Corporation</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0" w:type="dxa"/>
            <w:vAlign w:val="bottom"/>
          </w:tcPr>
          <w:p>
            <w:pPr>
              <w:spacing w:after="0"/>
              <w:rPr>
                <w:sz w:val="1"/>
                <w:szCs w:val="1"/>
                <w:color w:val="auto"/>
              </w:rPr>
            </w:pPr>
          </w:p>
        </w:tc>
      </w:tr>
      <w:tr>
        <w:trPr>
          <w:trHeight w:val="228"/>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American European Insurance Company</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44,042</w:t>
            </w:r>
          </w:p>
        </w:tc>
        <w:tc>
          <w:tcPr>
            <w:tcW w:w="120" w:type="dxa"/>
            <w:vAlign w:val="bottom"/>
          </w:tcPr>
          <w:p>
            <w:pPr>
              <w:spacing w:after="0"/>
              <w:rPr>
                <w:sz w:val="19"/>
                <w:szCs w:val="19"/>
                <w:color w:val="auto"/>
              </w:rPr>
            </w:pPr>
          </w:p>
        </w:tc>
        <w:tc>
          <w:tcPr>
            <w:tcW w:w="1440" w:type="dxa"/>
            <w:vAlign w:val="bottom"/>
          </w:tcPr>
          <w:p>
            <w:pPr>
              <w:jc w:val="center"/>
              <w:spacing w:after="0" w:line="228" w:lineRule="exact"/>
              <w:rPr>
                <w:sz w:val="20"/>
                <w:szCs w:val="20"/>
                <w:color w:val="auto"/>
              </w:rPr>
            </w:pPr>
            <w:r>
              <w:rPr>
                <w:rFonts w:ascii="Times New Roman" w:cs="Times New Roman" w:eastAsia="Times New Roman" w:hAnsi="Times New Roman"/>
                <w:sz w:val="26"/>
                <w:szCs w:val="26"/>
                <w:color w:val="auto"/>
                <w:vertAlign w:val="subscript"/>
              </w:rPr>
              <w:t>B-</w:t>
            </w: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228"/>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SiriusPoint America Insurance Company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0" w:type="dxa"/>
            <w:vAlign w:val="bottom"/>
          </w:tcPr>
          <w:p>
            <w:pPr>
              <w:spacing w:after="0"/>
              <w:rPr>
                <w:sz w:val="1"/>
                <w:szCs w:val="1"/>
                <w:color w:val="auto"/>
              </w:rPr>
            </w:pPr>
          </w:p>
        </w:tc>
      </w:tr>
      <w:tr>
        <w:trPr>
          <w:trHeight w:val="228"/>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Aleka Insurance Company (Commercial Auto LPT)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35,315</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center"/>
              <w:spacing w:after="0" w:line="229" w:lineRule="exact"/>
              <w:rPr>
                <w:sz w:val="20"/>
                <w:szCs w:val="20"/>
                <w:color w:val="auto"/>
              </w:rPr>
            </w:pPr>
            <w:r>
              <w:rPr>
                <w:rFonts w:ascii="Times New Roman" w:cs="Times New Roman" w:eastAsia="Times New Roman" w:hAnsi="Times New Roman"/>
                <w:sz w:val="18"/>
                <w:szCs w:val="18"/>
                <w:color w:val="auto"/>
                <w:w w:val="94"/>
              </w:rPr>
              <w:t>Unrated</w:t>
            </w:r>
            <w:r>
              <w:rPr>
                <w:rFonts w:ascii="Times New Roman" w:cs="Times New Roman" w:eastAsia="Times New Roman" w:hAnsi="Times New Roman"/>
                <w:sz w:val="23"/>
                <w:szCs w:val="23"/>
                <w:color w:val="auto"/>
                <w:w w:val="94"/>
                <w:vertAlign w:val="superscript"/>
              </w:rPr>
              <w:t>(1)</w:t>
            </w:r>
          </w:p>
        </w:tc>
        <w:tc>
          <w:tcPr>
            <w:tcW w:w="0" w:type="dxa"/>
            <w:vAlign w:val="bottom"/>
          </w:tcPr>
          <w:p>
            <w:pPr>
              <w:spacing w:after="0"/>
              <w:rPr>
                <w:sz w:val="1"/>
                <w:szCs w:val="1"/>
                <w:color w:val="auto"/>
              </w:rPr>
            </w:pPr>
          </w:p>
        </w:tc>
      </w:tr>
      <w:tr>
        <w:trPr>
          <w:trHeight w:val="222"/>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Top 10 Total</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1,346,638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650,275</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1,996,913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-332105</wp:posOffset>
            </wp:positionV>
            <wp:extent cx="5076825" cy="1536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076825" cy="153670"/>
                    </a:xfrm>
                    <a:prstGeom prst="rect">
                      <a:avLst/>
                    </a:prstGeom>
                    <a:noFill/>
                  </pic:spPr>
                </pic:pic>
              </a:graphicData>
            </a:graphic>
          </wp:anchor>
        </w:drawing>
      </w:r>
    </w:p>
    <w:p>
      <w:pPr>
        <w:spacing w:after="0" w:line="161" w:lineRule="exact"/>
        <w:rPr>
          <w:sz w:val="20"/>
          <w:szCs w:val="20"/>
          <w:color w:val="auto"/>
        </w:rPr>
      </w:pPr>
    </w:p>
    <w:p>
      <w:pPr>
        <w:ind w:left="400" w:hanging="393"/>
        <w:spacing w:after="0"/>
        <w:tabs>
          <w:tab w:leader="none" w:pos="40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reinsurer is unrated. All material reinsurance amounts from this reinsurer are collateralized.</w:t>
      </w:r>
    </w:p>
    <w:p>
      <w:pPr>
        <w:spacing w:after="0" w:line="115" w:lineRule="exact"/>
        <w:rPr>
          <w:rFonts w:ascii="Times New Roman" w:cs="Times New Roman" w:eastAsia="Times New Roman" w:hAnsi="Times New Roman"/>
          <w:sz w:val="18"/>
          <w:szCs w:val="18"/>
          <w:i w:val="1"/>
          <w:iCs w:val="1"/>
          <w:color w:val="auto"/>
        </w:rPr>
      </w:pPr>
    </w:p>
    <w:p>
      <w:pPr>
        <w:ind w:left="400" w:hanging="393"/>
        <w:spacing w:after="0"/>
        <w:tabs>
          <w:tab w:leader="none" w:pos="40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reinsurer is below A-. All material reinsurance recoverable amounts from this reinsurer are collateralized.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Recoverable from an Indemnifying Party and Reinsurer on Legacy Commercial Auto Book</w:t>
      </w:r>
    </w:p>
    <w:p>
      <w:pPr>
        <w:spacing w:after="0" w:line="119" w:lineRule="exact"/>
        <w:rPr>
          <w:sz w:val="20"/>
          <w:szCs w:val="20"/>
          <w:color w:val="auto"/>
        </w:rPr>
      </w:pPr>
    </w:p>
    <w:p>
      <w:pPr>
        <w:ind w:right="120" w:firstLine="363"/>
        <w:spacing w:after="0" w:line="252" w:lineRule="auto"/>
        <w:rPr>
          <w:sz w:val="20"/>
          <w:szCs w:val="20"/>
          <w:color w:val="auto"/>
        </w:rPr>
      </w:pPr>
      <w:r>
        <w:rPr>
          <w:rFonts w:ascii="Times New Roman" w:cs="Times New Roman" w:eastAsia="Times New Roman" w:hAnsi="Times New Roman"/>
          <w:sz w:val="18"/>
          <w:szCs w:val="18"/>
          <w:color w:val="auto"/>
        </w:rPr>
        <w:t>James River previously issued a set of commercial auto insurance contracts (the “Rasier Commercial Auto Policies”) to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the Commercial Auto LPT with Aleka to reinsure substantially all of the Rasier Commercial Auto Policies for which James River is not otherwise indemnified by Rasier under the Indemnity Agreements. Under the terms of the Commercial Auto LPT, effective as of July 1, 2021, James River ceded to Aleka approximately $345.1 million of commercial auto liabilities relating to Rasier Commercial Auto Policies written in the years 2013-2019, which amount constituted the reinsurance premium. Since inception, due to adverse paid and reported loss trends on the legacy Rasier business, the Company has recognized adverse prior year development of $114.2 million on the reserves subject to the Commercial Auto LPT, bringing the cumulative amount ceded under the Commercial Auto LPT to $459.3 million at December 31, 2024.</w:t>
      </w:r>
    </w:p>
    <w:p>
      <w:pPr>
        <w:spacing w:after="0" w:line="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Each of Rasier and Aleka are required to post collateral under the Indemnity Agreements and the Commercial Auto LPT:</w:t>
      </w:r>
    </w:p>
    <w:p>
      <w:pPr>
        <w:spacing w:after="0" w:line="115" w:lineRule="exact"/>
        <w:rPr>
          <w:sz w:val="20"/>
          <w:szCs w:val="20"/>
          <w:color w:val="auto"/>
        </w:rPr>
      </w:pPr>
    </w:p>
    <w:p>
      <w:pPr>
        <w:ind w:right="160" w:firstLine="370"/>
        <w:spacing w:after="0" w:line="253"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Commercial Auto LPT, James River returned $691.3 million to the Indemnity Trust, representing the remaining balance of the amount withdrawn in October 2019, as was permitted under the indemnification agreements with Rasier and the associated trust agreement. At December 31, 2024, the balance in the Indemnity Trust was $64.7 million, and, together with the balance of the Loss Fund Trust (as defined below) attributable to the Indemnity Agreements as described below, the total balance of collateral securing Rasier’s obligations under the Indemnity Agreements was $82.1 million.</w:t>
      </w:r>
    </w:p>
    <w:p>
      <w:pPr>
        <w:spacing w:after="0" w:line="81" w:lineRule="exact"/>
        <w:rPr>
          <w:rFonts w:ascii="Times New Roman" w:cs="Times New Roman" w:eastAsia="Times New Roman" w:hAnsi="Times New Roman"/>
          <w:sz w:val="18"/>
          <w:szCs w:val="18"/>
          <w:color w:val="auto"/>
        </w:rPr>
      </w:pPr>
    </w:p>
    <w:p>
      <w:pPr>
        <w:ind w:firstLine="370"/>
        <w:spacing w:after="0" w:line="256"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Commercial Auto LPT, Aleka is required to post collateral equal to 102% of James River's estimate of Aleka's obligations under the Commercial Auto LPT, calculated in accordance with standard actuarial principles and based on reserves recorded in the Company's statutory financial statements. The collateral is provided through a collateral trust arrangement (the “LPT Trust”) established in favor of James River by Aleka. At December 31, 2024, the balance in the LPT Trust was $30.1 million, and, together with the balance of the Loss Fund Trust (as defined below) attributable to the Commercial Auto LPT as described below, the total balance of collateral securing Aleka’s obligations under the Commercial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 LPT was $37.8 million. At December 31, 2024, the total reinsurance recoverables under the Commercial Auto LPT was $36.6 million.</w:t>
      </w:r>
    </w:p>
    <w:p>
      <w:pPr>
        <w:spacing w:after="0" w:line="115" w:lineRule="exact"/>
        <w:rPr>
          <w:sz w:val="20"/>
          <w:szCs w:val="20"/>
          <w:color w:val="auto"/>
        </w:rPr>
      </w:pPr>
    </w:p>
    <w:p>
      <w:pPr>
        <w:ind w:firstLine="363"/>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December 31, 2024, the balance in the Loss Fund Trust was $28.7 million, including $17.4 million representing collateral supporting Rasier’s obligations under the Indemnity Agreements and $7.7 million representing collateral supporting Aleka’s obligations under the Commercial Auto LPT. Funds posted to the Loss Fund Trust are classified as restricted cash equivalents on the Company's balance sheet.</w:t>
      </w:r>
    </w:p>
    <w:p>
      <w:pPr>
        <w:spacing w:after="0" w:line="84" w:lineRule="exact"/>
        <w:rPr>
          <w:sz w:val="20"/>
          <w:szCs w:val="20"/>
          <w:color w:val="auto"/>
        </w:rPr>
      </w:pPr>
    </w:p>
    <w:p>
      <w:pPr>
        <w:ind w:right="20" w:firstLine="363"/>
        <w:spacing w:after="0" w:line="253" w:lineRule="auto"/>
        <w:rPr>
          <w:sz w:val="20"/>
          <w:szCs w:val="20"/>
          <w:color w:val="auto"/>
        </w:rPr>
      </w:pPr>
      <w:r>
        <w:rPr>
          <w:rFonts w:ascii="Times New Roman" w:cs="Times New Roman" w:eastAsia="Times New Roman" w:hAnsi="Times New Roman"/>
          <w:sz w:val="18"/>
          <w:szCs w:val="18"/>
          <w:color w:val="auto"/>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our collateral balances. In addition, the Company has credit exposure if its estimates of future losses and loss adjustment expenses and other amounts recoverable under the Indemnity Agreements and the Commercial Auto LPT, which are the basis for establishing the collateral balances, are lower than actual amounts paid or payable. The amount of credit exposure in any of these instances could be material. To mitigate these risks, the Company closely and frequently monitors exposure compared to collateral held, and requests additional collateral in accordance with the terms of the Commercial Auto LPT and Indemnity Agreements when its analysis indicates that the Company has uncollateralized exposure.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Ratings</w:t>
      </w:r>
    </w:p>
    <w:p>
      <w:pPr>
        <w:spacing w:after="0" w:line="119" w:lineRule="exact"/>
        <w:rPr>
          <w:sz w:val="20"/>
          <w:szCs w:val="20"/>
          <w:color w:val="auto"/>
        </w:rPr>
      </w:pPr>
    </w:p>
    <w:p>
      <w:pPr>
        <w:ind w:right="120" w:firstLine="323"/>
        <w:spacing w:after="0" w:line="256" w:lineRule="auto"/>
        <w:rPr>
          <w:sz w:val="20"/>
          <w:szCs w:val="20"/>
          <w:color w:val="auto"/>
        </w:rPr>
      </w:pPr>
      <w:r>
        <w:rPr>
          <w:rFonts w:ascii="Times New Roman" w:cs="Times New Roman" w:eastAsia="Times New Roman" w:hAnsi="Times New Roman"/>
          <w:sz w:val="18"/>
          <w:szCs w:val="18"/>
          <w:color w:val="auto"/>
        </w:rPr>
        <w:t>The A.M. Best Company financial strength rating for our group’s regulated U.S. subsidiaries is “A-” (Excellent) with a negative outlook. This rating reflects A.M. Best’s opinion of our insurance subsidiaries’ financial strength, operating performance and ability to meet obligations to policyholders and is not an evaluation directed towards the protection of investors. The rating for our U.S. operating insurance companies of “A-” (Excellent) is the fourth highest rating of the thirteen ratings issued by A.M. Best and is assigned to insurers that have, in A.M. Best’s opinion, an excellent ability to meet their ongoing obligations to policyholders.</w:t>
      </w:r>
    </w:p>
    <w:p>
      <w:pPr>
        <w:spacing w:after="0" w:line="79" w:lineRule="exact"/>
        <w:rPr>
          <w:sz w:val="20"/>
          <w:szCs w:val="20"/>
          <w:color w:val="auto"/>
        </w:rPr>
      </w:pPr>
    </w:p>
    <w:p>
      <w:pPr>
        <w:jc w:val="both"/>
        <w:ind w:right="20" w:firstLine="323"/>
        <w:spacing w:after="0" w:line="264" w:lineRule="auto"/>
        <w:rPr>
          <w:sz w:val="20"/>
          <w:szCs w:val="20"/>
          <w:color w:val="auto"/>
        </w:rPr>
      </w:pPr>
      <w:r>
        <w:rPr>
          <w:rFonts w:ascii="Times New Roman" w:cs="Times New Roman" w:eastAsia="Times New Roman" w:hAnsi="Times New Roman"/>
          <w:sz w:val="18"/>
          <w:szCs w:val="18"/>
          <w:color w:val="auto"/>
        </w:rPr>
        <w:t>The financial strength ratings assigned by A.M. Best have an impact on the ability of our regulated subsidiaries to attract and retain agents and brokers and on the risk profiles of the submissions for insurance that our subsidiaries receive. We believe the “A-” (Excellent) ratings assigned to our U.S. insurance subsidiaries allow our subsidiaries to actively pursue relationships with the agents and brokers identified in their marketing plans.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Shares</w:t>
      </w:r>
    </w:p>
    <w:p>
      <w:pPr>
        <w:spacing w:after="0" w:line="119" w:lineRule="exact"/>
        <w:rPr>
          <w:sz w:val="20"/>
          <w:szCs w:val="20"/>
          <w:color w:val="auto"/>
        </w:rPr>
      </w:pPr>
    </w:p>
    <w:p>
      <w:pPr>
        <w:ind w:firstLine="363"/>
        <w:spacing w:after="0" w:line="259" w:lineRule="auto"/>
        <w:rPr>
          <w:sz w:val="20"/>
          <w:szCs w:val="20"/>
          <w:color w:val="auto"/>
        </w:rPr>
      </w:pPr>
      <w:r>
        <w:rPr>
          <w:rFonts w:ascii="Times New Roman" w:cs="Times New Roman" w:eastAsia="Times New Roman" w:hAnsi="Times New Roman"/>
          <w:sz w:val="18"/>
          <w:szCs w:val="18"/>
          <w:color w:val="auto"/>
        </w:rPr>
        <w:t>The Company closed on the issuance and sale of 150,000 Series A Preferred Shares on March 1, 2022 for an aggregate purchase price of $150.0 million, or $1,000 per share, in a private placement. The Series A Preferred Shares are convertible into the Company’s common shares at the option of the holder at any time, or at the Company’s option under certain circumstances. Dividends on the Series A Preferred Shares accrue quarterly at the rate of 7% of the Liquidation Preference per annum, which may be paid in cash, in-kind in common shares or in Series A Preferred Shares, at the Company’s election.</w:t>
      </w:r>
    </w:p>
    <w:p>
      <w:pPr>
        <w:spacing w:after="0" w:line="74" w:lineRule="exact"/>
        <w:rPr>
          <w:sz w:val="20"/>
          <w:szCs w:val="20"/>
          <w:color w:val="auto"/>
        </w:rPr>
      </w:pPr>
    </w:p>
    <w:p>
      <w:pPr>
        <w:ind w:right="40" w:firstLine="363"/>
        <w:spacing w:after="0" w:line="264" w:lineRule="auto"/>
        <w:rPr>
          <w:sz w:val="20"/>
          <w:szCs w:val="20"/>
          <w:color w:val="auto"/>
        </w:rPr>
      </w:pPr>
      <w:r>
        <w:rPr>
          <w:rFonts w:ascii="Times New Roman" w:cs="Times New Roman" w:eastAsia="Times New Roman" w:hAnsi="Times New Roman"/>
          <w:sz w:val="18"/>
          <w:szCs w:val="18"/>
          <w:color w:val="auto"/>
        </w:rPr>
        <w:t>On November 11, 2024, the Company amended the Certificate of Designations setting forth the terms of the Series A Preferred Shares to, among other things, convert 37,500 outstanding Series A Preferred Shares with a liquidation value of $37.5 million to common shares at a per share price of $6.40. Following the conversion, 112,500 Series A Preferred Shares remain outstanding.</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119" w:lineRule="exact"/>
        <w:rPr>
          <w:sz w:val="20"/>
          <w:szCs w:val="20"/>
          <w:color w:val="auto"/>
        </w:rPr>
      </w:pPr>
    </w:p>
    <w:p>
      <w:pPr>
        <w:ind w:right="800" w:firstLine="363"/>
        <w:spacing w:after="0" w:line="280" w:lineRule="auto"/>
        <w:rPr>
          <w:sz w:val="20"/>
          <w:szCs w:val="20"/>
          <w:color w:val="auto"/>
        </w:rPr>
      </w:pPr>
      <w:r>
        <w:rPr>
          <w:rFonts w:ascii="Times New Roman" w:cs="Times New Roman" w:eastAsia="Times New Roman" w:hAnsi="Times New Roman"/>
          <w:sz w:val="18"/>
          <w:szCs w:val="18"/>
          <w:color w:val="auto"/>
        </w:rPr>
        <w:t>The Company issued 8,002,755 common shares in the year ended December 31, 2024, increasing the total common shares outstanding from 37,641,563 at December 31, 2023 to 45,644,318 at December 31, 2024.</w:t>
      </w:r>
    </w:p>
    <w:p>
      <w:pPr>
        <w:spacing w:after="0" w:line="55" w:lineRule="exact"/>
        <w:rPr>
          <w:sz w:val="20"/>
          <w:szCs w:val="20"/>
          <w:color w:val="auto"/>
        </w:rPr>
      </w:pPr>
    </w:p>
    <w:p>
      <w:pPr>
        <w:ind w:right="40" w:firstLine="363"/>
        <w:spacing w:after="0" w:line="264" w:lineRule="auto"/>
        <w:rPr>
          <w:sz w:val="20"/>
          <w:szCs w:val="20"/>
          <w:color w:val="auto"/>
        </w:rPr>
      </w:pPr>
      <w:r>
        <w:rPr>
          <w:rFonts w:ascii="Times New Roman" w:cs="Times New Roman" w:eastAsia="Times New Roman" w:hAnsi="Times New Roman"/>
          <w:sz w:val="18"/>
          <w:szCs w:val="18"/>
          <w:color w:val="auto"/>
        </w:rPr>
        <w:t>On November 11, 2024, the Company amended the Certificate of Designations setting forth the terms of the Series A Preferred Shares to, among other things, convert 37,500 outstanding Series A Preferred Shares with a liquidation value of $37.5 million to common shares at a per share price of $6.40, resulting in the issuance of 5,859,375 common shares.</w:t>
      </w:r>
    </w:p>
    <w:p>
      <w:pPr>
        <w:spacing w:after="0" w:line="69" w:lineRule="exact"/>
        <w:rPr>
          <w:sz w:val="20"/>
          <w:szCs w:val="20"/>
          <w:color w:val="auto"/>
        </w:rPr>
      </w:pPr>
    </w:p>
    <w:p>
      <w:pPr>
        <w:ind w:right="420" w:firstLine="323"/>
        <w:spacing w:after="0" w:line="264" w:lineRule="auto"/>
        <w:rPr>
          <w:sz w:val="20"/>
          <w:szCs w:val="20"/>
          <w:color w:val="auto"/>
        </w:rPr>
      </w:pPr>
      <w:r>
        <w:rPr>
          <w:rFonts w:ascii="Times New Roman" w:cs="Times New Roman" w:eastAsia="Times New Roman" w:hAnsi="Times New Roman"/>
          <w:sz w:val="18"/>
          <w:szCs w:val="18"/>
          <w:color w:val="auto"/>
        </w:rPr>
        <w:t>On November 11, 2024, Enstar Group Limited (“Enstar”), through its subsidiary Cavello Bay Reinsurance Limited, entered into a subscription agreement to purchase $12.5 million of the Company’s common shares at a share price of $6.40. The Enstar investment closed on December 23, 2024, resulting in the issuance of 1,953,125 common shares.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2024, 190,255 of common shares were issued related to the vesting of restricted share units (“RSUs”).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Based Compensation Expense</w:t>
      </w:r>
    </w:p>
    <w:p>
      <w:pPr>
        <w:spacing w:after="0" w:line="119" w:lineRule="exact"/>
        <w:rPr>
          <w:sz w:val="20"/>
          <w:szCs w:val="20"/>
          <w:color w:val="auto"/>
        </w:rPr>
      </w:pPr>
    </w:p>
    <w:p>
      <w:pPr>
        <w:jc w:val="both"/>
        <w:ind w:right="100" w:firstLine="363"/>
        <w:spacing w:after="0" w:line="264"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recognized $6.6 million, $9.1 million and $8.1 million, respectively, of share based compensation expense. As of December 31, 2024, the Company had $6.3 million of unrecognized share based compensation expense expected to be charged to earnings over a weighted-average period of 1.6 years.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option activity: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840" w:type="dxa"/>
            <w:vAlign w:val="bottom"/>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2840" w:type="dxa"/>
            <w:vAlign w:val="bottom"/>
          </w:tcPr>
          <w:p>
            <w:pPr>
              <w:spacing w:after="0"/>
              <w:rPr>
                <w:sz w:val="11"/>
                <w:szCs w:val="11"/>
                <w:color w:val="auto"/>
              </w:rPr>
            </w:pPr>
          </w:p>
        </w:tc>
        <w:tc>
          <w:tcPr>
            <w:tcW w:w="13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5"/>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84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74,390</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287,974</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287,974</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0" w:type="dxa"/>
            <w:vAlign w:val="bottom"/>
          </w:tcPr>
          <w:p>
            <w:pPr>
              <w:spacing w:after="0"/>
              <w:rPr>
                <w:sz w:val="1"/>
                <w:szCs w:val="1"/>
                <w:color w:val="auto"/>
              </w:rPr>
            </w:pPr>
          </w:p>
        </w:tc>
      </w:tr>
      <w:tr>
        <w:trPr>
          <w:trHeight w:val="228"/>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Lapsed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(164,548)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(49,036)</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287,974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end of year</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287,974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options outstanding at December 31, 2023 lapsed in the year ended December 31, 2024. At December 31, 2024, no options remain outstanding.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RSU activity: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82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8"/>
              <w:spacing w:after="0" w:line="135"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8"/>
              <w:spacing w:after="0" w:line="135"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8"/>
              <w:spacing w:after="0" w:line="135"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37"/>
        </w:trPr>
        <w:tc>
          <w:tcPr>
            <w:tcW w:w="2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32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0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0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18"/>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5"/>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Unvested, beginning of year</w:t>
            </w: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820" w:type="dxa"/>
            <w:vAlign w:val="bottom"/>
            <w:vMerge w:val="continue"/>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751,254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665,458</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292,135</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0" w:type="dxa"/>
            <w:vAlign w:val="bottom"/>
          </w:tcPr>
          <w:p>
            <w:pPr>
              <w:spacing w:after="0"/>
              <w:rPr>
                <w:sz w:val="1"/>
                <w:szCs w:val="1"/>
                <w:color w:val="auto"/>
              </w:rPr>
            </w:pPr>
          </w:p>
        </w:tc>
      </w:tr>
      <w:tr>
        <w:trPr>
          <w:trHeight w:val="22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541,520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388,517</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560,680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0" w:type="dxa"/>
            <w:vAlign w:val="bottom"/>
          </w:tcPr>
          <w:p>
            <w:pPr>
              <w:spacing w:after="0"/>
              <w:rPr>
                <w:sz w:val="1"/>
                <w:szCs w:val="1"/>
                <w:color w:val="auto"/>
              </w:rPr>
            </w:pPr>
          </w:p>
        </w:tc>
      </w:tr>
      <w:tr>
        <w:trPr>
          <w:trHeight w:val="22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(276,428)</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(250,793)</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(147,530)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0" w:type="dxa"/>
            <w:vAlign w:val="bottom"/>
          </w:tcPr>
          <w:p>
            <w:pPr>
              <w:spacing w:after="0"/>
              <w:rPr>
                <w:sz w:val="1"/>
                <w:szCs w:val="1"/>
                <w:color w:val="auto"/>
              </w:rPr>
            </w:pPr>
          </w:p>
        </w:tc>
      </w:tr>
      <w:tr>
        <w:trPr>
          <w:trHeight w:val="22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28"/>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PRSU performance adjustment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(29,679)</w:t>
            </w:r>
          </w:p>
        </w:tc>
        <w:tc>
          <w:tcPr>
            <w:tcW w:w="30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end of year</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885,173</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751,254</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665,458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100" w:firstLine="323"/>
        <w:spacing w:after="0" w:line="256" w:lineRule="auto"/>
        <w:rPr>
          <w:sz w:val="20"/>
          <w:szCs w:val="20"/>
          <w:color w:val="auto"/>
        </w:rPr>
      </w:pPr>
      <w:r>
        <w:rPr>
          <w:rFonts w:ascii="Times New Roman" w:cs="Times New Roman" w:eastAsia="Times New Roman" w:hAnsi="Times New Roman"/>
          <w:sz w:val="18"/>
          <w:szCs w:val="18"/>
          <w:color w:val="auto"/>
        </w:rPr>
        <w:t>Outstanding RSUs granted to employees generally vest ratably over a three year vesting period. RSUs granted to non-employee directors have a one year vesting period. The RSUs granted in 2024 and 2023 include 231,492 and 91,818 performance based restricted share units (“PRSUs”) awards, respectively. Initial PRSU awards are granted at the 100% target performance level. The Company projects the level of achievement for each award during the performance period and periodically adjusts the number of outstanding awards to reflect the number of awards expected to vest. In 2024, a downward performance adjustment was made to the outstanding PRSUs granted in 2023.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19" w:lineRule="exact"/>
        <w:rPr>
          <w:sz w:val="20"/>
          <w:szCs w:val="20"/>
          <w:color w:val="auto"/>
        </w:rPr>
      </w:pPr>
    </w:p>
    <w:p>
      <w:pPr>
        <w:ind w:right="260" w:firstLine="323"/>
        <w:spacing w:after="0" w:line="264" w:lineRule="auto"/>
        <w:rPr>
          <w:sz w:val="20"/>
          <w:szCs w:val="20"/>
          <w:color w:val="auto"/>
        </w:rPr>
      </w:pPr>
      <w:r>
        <w:rPr>
          <w:rFonts w:ascii="Times New Roman" w:cs="Times New Roman" w:eastAsia="Times New Roman" w:hAnsi="Times New Roman"/>
          <w:sz w:val="18"/>
          <w:szCs w:val="18"/>
          <w:color w:val="auto"/>
        </w:rPr>
        <w:t>We believe the cash generating capability of our operations, together with our revolving credit facilities, and ability to raise capital through future equity offerings, will be adequate to meet our short and long-term cash requirements and provide the financial strength necessary to support our business growth.</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illustrates our material cash requirements by due date as of December 31,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
        </w:trPr>
        <w:tc>
          <w:tcPr>
            <w:tcW w:w="3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8"/>
        </w:trPr>
        <w:tc>
          <w:tcPr>
            <w:tcW w:w="3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2026-2027</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2028-2029</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196"/>
        </w:trPr>
        <w:tc>
          <w:tcPr>
            <w:tcW w:w="3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4"/>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3,084,406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898,001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1,302,465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599,122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284,818</w:t>
            </w:r>
          </w:p>
        </w:tc>
      </w:tr>
      <w:tr>
        <w:trPr>
          <w:trHeight w:val="22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8"/>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debt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8"/>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Junior subordinated debt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104,055</w:t>
            </w:r>
          </w:p>
        </w:tc>
      </w:tr>
      <w:tr>
        <w:trPr>
          <w:trHeight w:val="22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on debt obligations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129,994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64,371</w:t>
            </w:r>
          </w:p>
        </w:tc>
      </w:tr>
      <w:tr>
        <w:trPr>
          <w:trHeight w:val="247"/>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3,525,211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468,244</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40" w:firstLine="363"/>
        <w:spacing w:after="0" w:line="254" w:lineRule="auto"/>
        <w:rPr>
          <w:sz w:val="20"/>
          <w:szCs w:val="20"/>
          <w:color w:val="auto"/>
        </w:rPr>
      </w:pPr>
      <w:r>
        <w:rPr>
          <w:rFonts w:ascii="Times New Roman" w:cs="Times New Roman" w:eastAsia="Times New Roman" w:hAnsi="Times New Roman"/>
          <w:sz w:val="18"/>
          <w:szCs w:val="18"/>
          <w:color w:val="auto"/>
        </w:rPr>
        <w:t>The reserve for losses and loss adjustment expenses represent management’s estimate of the ultimate cost of settling losses. As more fully discussed in “—Critical Accounting Policies and Estimates—Reserve for Losses and Loss Adjustment Expenses” above, the estimation of losses is based on various complex and subjective judgments. Actual losses paid may differ, perhaps significantly, from the reserve estimates reflected in our consolidated financial statements. Similarly, the timing of payment of our estimated losses is not fixed and there may be significant changes in actual payment activity. The assumptions used in estimating the likely payments due by period are based on our historical claims payment experience and industry payment patterns, but due to the inherent uncertainty in the process of estimating the timing of such payments, there is a risk that the amounts paid in any such period can be significantly different from the amounts disclosed above.</w:t>
      </w:r>
    </w:p>
    <w:p>
      <w:pPr>
        <w:spacing w:after="0" w:line="79" w:lineRule="exact"/>
        <w:rPr>
          <w:sz w:val="20"/>
          <w:szCs w:val="20"/>
          <w:color w:val="auto"/>
        </w:rPr>
      </w:pPr>
    </w:p>
    <w:p>
      <w:pPr>
        <w:ind w:firstLine="363"/>
        <w:spacing w:after="0" w:line="264" w:lineRule="auto"/>
        <w:rPr>
          <w:sz w:val="20"/>
          <w:szCs w:val="20"/>
          <w:color w:val="auto"/>
        </w:rPr>
      </w:pPr>
      <w:r>
        <w:rPr>
          <w:rFonts w:ascii="Times New Roman" w:cs="Times New Roman" w:eastAsia="Times New Roman" w:hAnsi="Times New Roman"/>
          <w:sz w:val="18"/>
          <w:szCs w:val="18"/>
          <w:color w:val="auto"/>
        </w:rPr>
        <w:t>The amounts in the above table represent our gross estimates of known liabilities as of December 31, 2024 and do not include any allowance for claims for future events within the time period specified. Accordingly, it is highly likely that the total amounts paid out in the time periods shown will be greater than those indicated in the table.</w:t>
      </w:r>
    </w:p>
    <w:p>
      <w:pPr>
        <w:spacing w:after="0" w:line="69" w:lineRule="exact"/>
        <w:rPr>
          <w:sz w:val="20"/>
          <w:szCs w:val="20"/>
          <w:color w:val="auto"/>
        </w:rPr>
      </w:pPr>
    </w:p>
    <w:p>
      <w:pPr>
        <w:ind w:right="20" w:firstLine="363"/>
        <w:spacing w:after="0" w:line="280" w:lineRule="auto"/>
        <w:rPr>
          <w:sz w:val="20"/>
          <w:szCs w:val="20"/>
          <w:color w:val="auto"/>
        </w:rPr>
      </w:pPr>
      <w:r>
        <w:rPr>
          <w:rFonts w:ascii="Times New Roman" w:cs="Times New Roman" w:eastAsia="Times New Roman" w:hAnsi="Times New Roman"/>
          <w:sz w:val="18"/>
          <w:szCs w:val="18"/>
          <w:color w:val="auto"/>
        </w:rPr>
        <w:t>Interest on debt obligations was calculated using the SOFR rate as of December 31, 2024 with the assumption that interest rates would remain flat over the remainder of the period that the debt was outstanding.</w:t>
      </w:r>
    </w:p>
    <w:p>
      <w:pPr>
        <w:spacing w:after="0" w:line="55" w:lineRule="exact"/>
        <w:rPr>
          <w:sz w:val="20"/>
          <w:szCs w:val="20"/>
          <w:color w:val="auto"/>
        </w:rPr>
      </w:pPr>
    </w:p>
    <w:p>
      <w:pPr>
        <w:ind w:right="280" w:firstLine="363"/>
        <w:spacing w:after="0" w:line="259" w:lineRule="auto"/>
        <w:rPr>
          <w:sz w:val="20"/>
          <w:szCs w:val="20"/>
          <w:color w:val="auto"/>
        </w:rPr>
      </w:pPr>
      <w:r>
        <w:rPr>
          <w:rFonts w:ascii="Times New Roman" w:cs="Times New Roman" w:eastAsia="Times New Roman" w:hAnsi="Times New Roman"/>
          <w:sz w:val="18"/>
          <w:szCs w:val="18"/>
          <w:color w:val="auto"/>
        </w:rPr>
        <w:t>The Company owns investments in limited partnerships that invest in concentrated portfolios including publicly traded small cap equities, loans of middle market private equity sponsored companies, private equity general partnership interests, commercial mortgage-backed securities, and tranches of distressed home loans. At December 31, 2024, the Company’s Excess and Surplus Lines segment has outstanding commitments to invest another $4.7 million in these limited partnerships.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Performance Ratios</w:t>
      </w:r>
    </w:p>
    <w:p>
      <w:pPr>
        <w:spacing w:after="0" w:line="119" w:lineRule="exact"/>
        <w:rPr>
          <w:sz w:val="20"/>
          <w:szCs w:val="20"/>
          <w:color w:val="auto"/>
        </w:rPr>
      </w:pPr>
    </w:p>
    <w:p>
      <w:pPr>
        <w:ind w:right="60" w:firstLine="323"/>
        <w:spacing w:after="0" w:line="275" w:lineRule="auto"/>
        <w:rPr>
          <w:sz w:val="20"/>
          <w:szCs w:val="20"/>
          <w:color w:val="auto"/>
        </w:rPr>
      </w:pPr>
      <w:r>
        <w:rPr>
          <w:rFonts w:ascii="Times New Roman" w:cs="Times New Roman" w:eastAsia="Times New Roman" w:hAnsi="Times New Roman"/>
          <w:sz w:val="17"/>
          <w:szCs w:val="17"/>
          <w:color w:val="auto"/>
        </w:rPr>
        <w:t>The following table provides the underwriting performance ratios of the Company's continuing operations inclusive of the business subject to retroactive reinsurance accounting. There is no economic impact to the Company over the life of a retroactive reinsurance contract so long as any additional losses subject to the contract are within the limit of the contract and the counterparty performs under the contract. Retroactive reinsurance accounting is not indicative of our current and ongoing operations. Management believes that providing loss ratios and combined ratios on business not subject to retroactive reinsurance accounting gives the users of our financial statements useful information in evaluating our current and ongoing operations.</w:t>
      </w:r>
    </w:p>
    <w:p>
      <w:pPr>
        <w:spacing w:after="0" w:line="9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5"/>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Excess and Surplus Lines:</w:t>
            </w:r>
          </w:p>
        </w:tc>
        <w:tc>
          <w:tcPr>
            <w:tcW w:w="9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28"/>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65.9 %</w:t>
            </w:r>
          </w:p>
        </w:tc>
      </w:tr>
      <w:tr>
        <w:trPr>
          <w:trHeight w:val="228"/>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2"/>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Ratio including impact of retroactive reinsurance</w:t>
            </w:r>
          </w:p>
        </w:tc>
        <w:tc>
          <w:tcPr>
            <w:tcW w:w="9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94.9 %</w:t>
            </w:r>
          </w:p>
        </w:tc>
        <w:tc>
          <w:tcPr>
            <w:tcW w:w="1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69.7 %</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68.7 %</w:t>
            </w:r>
          </w:p>
        </w:tc>
      </w:tr>
      <w:tr>
        <w:trPr>
          <w:trHeight w:val="269"/>
        </w:trPr>
        <w:tc>
          <w:tcPr>
            <w:tcW w:w="64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28"/>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115.1 %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85.1 %</w:t>
            </w:r>
          </w:p>
        </w:tc>
      </w:tr>
      <w:tr>
        <w:trPr>
          <w:trHeight w:val="228"/>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2"/>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Combined Ratio including impact of retroactive reinsurance</w:t>
            </w:r>
          </w:p>
        </w:tc>
        <w:tc>
          <w:tcPr>
            <w:tcW w:w="9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122.4 %</w:t>
            </w:r>
          </w:p>
        </w:tc>
        <w:tc>
          <w:tcPr>
            <w:tcW w:w="1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91.9 %</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87.9 %</w:t>
            </w:r>
          </w:p>
        </w:tc>
      </w:tr>
      <w:tr>
        <w:trPr>
          <w:trHeight w:val="269"/>
        </w:trPr>
        <w:tc>
          <w:tcPr>
            <w:tcW w:w="64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28"/>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8"/>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r>
      <w:tr>
        <w:trPr>
          <w:trHeight w:val="228"/>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2"/>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Ratio including impact of retroactive reinsurance</w:t>
            </w:r>
          </w:p>
        </w:tc>
        <w:tc>
          <w:tcPr>
            <w:tcW w:w="9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92.4 %</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r>
      <w:tr>
        <w:trPr>
          <w:trHeight w:val="269"/>
        </w:trPr>
        <w:tc>
          <w:tcPr>
            <w:tcW w:w="6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28"/>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117.6 %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91.1 %</w:t>
            </w:r>
          </w:p>
        </w:tc>
      </w:tr>
      <w:tr>
        <w:trPr>
          <w:trHeight w:val="228"/>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2"/>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 including impact of retroactive reinsurance</w:t>
            </w:r>
          </w:p>
        </w:tc>
        <w:tc>
          <w:tcPr>
            <w:tcW w:w="9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123.8 %</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93.6 %</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Measures</w:t>
      </w:r>
    </w:p>
    <w:p>
      <w:pPr>
        <w:spacing w:after="0" w:line="119" w:lineRule="exact"/>
        <w:rPr>
          <w:sz w:val="20"/>
          <w:szCs w:val="20"/>
          <w:color w:val="auto"/>
        </w:rPr>
      </w:pPr>
    </w:p>
    <w:p>
      <w:pPr>
        <w:ind w:right="520" w:firstLine="323"/>
        <w:spacing w:after="0" w:line="280" w:lineRule="auto"/>
        <w:rPr>
          <w:sz w:val="20"/>
          <w:szCs w:val="20"/>
          <w:color w:val="auto"/>
        </w:rPr>
      </w:pPr>
      <w:r>
        <w:rPr>
          <w:rFonts w:ascii="Times New Roman" w:cs="Times New Roman" w:eastAsia="Times New Roman" w:hAnsi="Times New Roman"/>
          <w:sz w:val="18"/>
          <w:szCs w:val="18"/>
          <w:color w:val="auto"/>
        </w:rPr>
        <w:t>See “Key Metrics” above for description of why management believes the following Non-GAAP measures provide useful information about our financial condition and results of operation.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Underwriting Profit</w:t>
      </w:r>
    </w:p>
    <w:p>
      <w:pPr>
        <w:spacing w:after="0" w:line="119" w:lineRule="exact"/>
        <w:rPr>
          <w:sz w:val="20"/>
          <w:szCs w:val="20"/>
          <w:color w:val="auto"/>
        </w:rPr>
      </w:pPr>
    </w:p>
    <w:p>
      <w:pPr>
        <w:ind w:right="240" w:firstLine="323"/>
        <w:spacing w:after="0" w:line="256" w:lineRule="auto"/>
        <w:rPr>
          <w:sz w:val="20"/>
          <w:szCs w:val="20"/>
          <w:color w:val="auto"/>
        </w:rPr>
      </w:pPr>
      <w:r>
        <w:rPr>
          <w:rFonts w:ascii="Times New Roman" w:cs="Times New Roman" w:eastAsia="Times New Roman" w:hAnsi="Times New Roman"/>
          <w:sz w:val="18"/>
          <w:szCs w:val="18"/>
          <w:color w:val="auto"/>
        </w:rPr>
        <w:t>We define underwriting profit as net earned premiums and gross fee income (in specific instances when the Company is not retaining insurance risk) less losses and loss adjustment expenses on business from continuing operations not subject to retroactive reinsurance accounting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w:t>
      </w:r>
    </w:p>
    <w:p>
      <w:pPr>
        <w:spacing w:after="0" w:line="79" w:lineRule="exact"/>
        <w:rPr>
          <w:sz w:val="20"/>
          <w:szCs w:val="20"/>
          <w:color w:val="auto"/>
        </w:rPr>
      </w:pPr>
    </w:p>
    <w:p>
      <w:pPr>
        <w:ind w:right="420" w:firstLine="323"/>
        <w:spacing w:after="0" w:line="280" w:lineRule="auto"/>
        <w:rPr>
          <w:sz w:val="20"/>
          <w:szCs w:val="20"/>
          <w:color w:val="auto"/>
        </w:rPr>
      </w:pPr>
      <w:r>
        <w:rPr>
          <w:rFonts w:ascii="Times New Roman" w:cs="Times New Roman" w:eastAsia="Times New Roman" w:hAnsi="Times New Roman"/>
          <w:sz w:val="18"/>
          <w:szCs w:val="18"/>
          <w:color w:val="auto"/>
        </w:rPr>
        <w:t>The following table reconciles the underwriting (loss) profit of the operating segments by individual segment to consolidated (loss) income before income taxes for the years ended December 31, 2024, 2023 and 2022.</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(loss) profit of the operating segments: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(77,455)</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83,051</w:t>
            </w:r>
          </w:p>
        </w:tc>
      </w:tr>
      <w:tr>
        <w:trPr>
          <w:trHeight w:val="22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w:t>
            </w:r>
          </w:p>
        </w:tc>
      </w:tr>
      <w:tr>
        <w:trPr>
          <w:trHeight w:val="222"/>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underwriting (loss) profit of the operating segments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87,285</w:t>
            </w:r>
          </w:p>
        </w:tc>
      </w:tr>
      <w:tr>
        <w:trPr>
          <w:trHeight w:val="22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(31,260)</w:t>
            </w:r>
          </w:p>
        </w:tc>
      </w:tr>
      <w:tr>
        <w:trPr>
          <w:trHeight w:val="222"/>
        </w:trPr>
        <w:tc>
          <w:tcPr>
            <w:tcW w:w="6680" w:type="dxa"/>
            <w:vAlign w:val="bottom"/>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Underwriting (loss) profit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56,025</w:t>
            </w:r>
          </w:p>
        </w:tc>
      </w:tr>
      <w:tr>
        <w:trPr>
          <w:trHeight w:val="22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 retroactive reinsurance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(15,742)</w:t>
            </w:r>
          </w:p>
        </w:tc>
      </w:tr>
      <w:tr>
        <w:trPr>
          <w:trHeight w:val="22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43,188</w:t>
            </w:r>
          </w:p>
        </w:tc>
      </w:tr>
      <w:tr>
        <w:trPr>
          <w:trHeight w:val="22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(15,720)</w:t>
            </w:r>
          </w:p>
        </w:tc>
      </w:tr>
      <w:tr>
        <w:trPr>
          <w:trHeight w:val="22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2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(13,872)</w:t>
            </w:r>
          </w:p>
        </w:tc>
      </w:tr>
      <w:tr>
        <w:trPr>
          <w:trHeight w:val="22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8"/>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53,272</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40" w:right="100" w:hanging="333"/>
        <w:spacing w:after="0" w:line="280" w:lineRule="auto"/>
        <w:tabs>
          <w:tab w:leader="none" w:pos="40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(loss) profit includes gross fee income of $21.0 million, $24.2 million, and $23.6 million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Adjusted Net Operating Income</w:t>
      </w:r>
    </w:p>
    <w:p>
      <w:pPr>
        <w:spacing w:after="0" w:line="119" w:lineRule="exact"/>
        <w:rPr>
          <w:sz w:val="20"/>
          <w:szCs w:val="20"/>
          <w:color w:val="auto"/>
        </w:rPr>
      </w:pPr>
    </w:p>
    <w:p>
      <w:pPr>
        <w:ind w:right="100" w:firstLine="323"/>
        <w:spacing w:after="0" w:line="255" w:lineRule="auto"/>
        <w:rPr>
          <w:sz w:val="20"/>
          <w:szCs w:val="20"/>
          <w:color w:val="auto"/>
        </w:rPr>
      </w:pPr>
      <w:r>
        <w:rPr>
          <w:rFonts w:ascii="Times New Roman" w:cs="Times New Roman" w:eastAsia="Times New Roman" w:hAnsi="Times New Roman"/>
          <w:sz w:val="18"/>
          <w:szCs w:val="18"/>
          <w:color w:val="auto"/>
        </w:rPr>
        <w:t>Adjusted net operating income is defined as income available to common shareholders excluding a) income (loss) from discontinued operations, b) the impact of retroactive reinsurance accounting, c) net realized and unrealized gains (losses) on investments, d) certain non-operating expenses such as professional service fees related to certain lawsuits, various strategic initiatives, and the filing of registration statements for the offering of securities, e) severance costs associated with terminated employees, and f) deemed dividends recorded with the amendment of the Series A Preferred Shares. Adjusted net operating income should not be viewed as a substitute for net income calculated in accordance with GAAP, and our definition of adjusted net operating income may not be comparable to that of other companies.</w:t>
      </w:r>
    </w:p>
    <w:p>
      <w:pPr>
        <w:spacing w:after="0" w:line="78" w:lineRule="exact"/>
        <w:rPr>
          <w:sz w:val="20"/>
          <w:szCs w:val="20"/>
          <w:color w:val="auto"/>
        </w:rPr>
      </w:pPr>
    </w:p>
    <w:p>
      <w:pPr>
        <w:ind w:firstLine="323"/>
        <w:spacing w:after="0" w:line="280" w:lineRule="auto"/>
        <w:rPr>
          <w:sz w:val="20"/>
          <w:szCs w:val="20"/>
          <w:color w:val="auto"/>
        </w:rPr>
      </w:pPr>
      <w:r>
        <w:rPr>
          <w:rFonts w:ascii="Times New Roman" w:cs="Times New Roman" w:eastAsia="Times New Roman" w:hAnsi="Times New Roman"/>
          <w:sz w:val="18"/>
          <w:szCs w:val="18"/>
          <w:color w:val="auto"/>
        </w:rPr>
        <w:t>Our (loss) income available to common shareholders for the years ended December 31, 2024, 2023 and 2022 reconciles to our adjusted net operating (loss) income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380"/>
              <w:spacing w:after="0" w:line="137" w:lineRule="exact"/>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240" w:type="dxa"/>
            <w:vAlign w:val="bottom"/>
          </w:tcPr>
          <w:p>
            <w:pPr>
              <w:spacing w:after="0"/>
              <w:rPr>
                <w:sz w:val="11"/>
                <w:szCs w:val="11"/>
                <w:color w:val="auto"/>
              </w:rPr>
            </w:pPr>
          </w:p>
        </w:tc>
        <w:tc>
          <w:tcPr>
            <w:tcW w:w="106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Income</w:t>
            </w:r>
          </w:p>
        </w:tc>
        <w:tc>
          <w:tcPr>
            <w:tcW w:w="240" w:type="dxa"/>
            <w:vAlign w:val="bottom"/>
          </w:tcPr>
          <w:p>
            <w:pPr>
              <w:spacing w:after="0"/>
              <w:rPr>
                <w:sz w:val="11"/>
                <w:szCs w:val="11"/>
                <w:color w:val="auto"/>
              </w:rPr>
            </w:pPr>
          </w:p>
        </w:tc>
        <w:tc>
          <w:tcPr>
            <w:tcW w:w="96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Before</w:t>
            </w:r>
          </w:p>
        </w:tc>
        <w:tc>
          <w:tcPr>
            <w:tcW w:w="220" w:type="dxa"/>
            <w:vAlign w:val="bottom"/>
          </w:tcPr>
          <w:p>
            <w:pPr>
              <w:spacing w:after="0"/>
              <w:rPr>
                <w:sz w:val="12"/>
                <w:szCs w:val="1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Before</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Before</w:t>
            </w: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5"/>
        </w:trPr>
        <w:tc>
          <w:tcPr>
            <w:tcW w:w="3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(Loss) income available to common</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(125,903)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22,223</w:t>
            </w:r>
          </w:p>
        </w:tc>
        <w:tc>
          <w:tcPr>
            <w:tcW w:w="0" w:type="dxa"/>
            <w:vAlign w:val="bottom"/>
          </w:tcPr>
          <w:p>
            <w:pPr>
              <w:spacing w:after="0"/>
              <w:rPr>
                <w:sz w:val="1"/>
                <w:szCs w:val="1"/>
                <w:color w:val="auto"/>
              </w:rPr>
            </w:pPr>
          </w:p>
        </w:tc>
      </w:tr>
      <w:tr>
        <w:trPr>
          <w:trHeight w:val="22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0" w:type="dxa"/>
            <w:vAlign w:val="bottom"/>
          </w:tcPr>
          <w:p>
            <w:pPr>
              <w:spacing w:after="0"/>
              <w:rPr>
                <w:sz w:val="1"/>
                <w:szCs w:val="1"/>
                <w:color w:val="auto"/>
              </w:rPr>
            </w:pPr>
          </w:p>
        </w:tc>
      </w:tr>
      <w:tr>
        <w:trPr>
          <w:trHeight w:val="175"/>
        </w:trPr>
        <w:tc>
          <w:tcPr>
            <w:tcW w:w="35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Losses and loss adjustment expenses -</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retroactive reinsurance</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Net realized and unrealized investment (gains)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12,418</w:t>
            </w:r>
          </w:p>
        </w:tc>
        <w:tc>
          <w:tcPr>
            <w:tcW w:w="0" w:type="dxa"/>
            <w:vAlign w:val="bottom"/>
          </w:tcPr>
          <w:p>
            <w:pPr>
              <w:spacing w:after="0"/>
              <w:rPr>
                <w:sz w:val="1"/>
                <w:szCs w:val="1"/>
                <w:color w:val="auto"/>
              </w:rPr>
            </w:pPr>
          </w:p>
        </w:tc>
      </w:tr>
      <w:tr>
        <w:trPr>
          <w:trHeight w:val="22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2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deemed dividends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operating (loss)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76,731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Equity and Tangible Equity per Share</w:t>
      </w:r>
    </w:p>
    <w:p>
      <w:pPr>
        <w:spacing w:after="0" w:line="119" w:lineRule="exact"/>
        <w:rPr>
          <w:sz w:val="20"/>
          <w:szCs w:val="20"/>
          <w:color w:val="auto"/>
        </w:rPr>
      </w:pPr>
    </w:p>
    <w:p>
      <w:pPr>
        <w:ind w:right="60" w:firstLine="323"/>
        <w:spacing w:after="0" w:line="275" w:lineRule="auto"/>
        <w:rPr>
          <w:sz w:val="20"/>
          <w:szCs w:val="20"/>
          <w:color w:val="auto"/>
        </w:rPr>
      </w:pPr>
      <w:r>
        <w:rPr>
          <w:rFonts w:ascii="Times New Roman" w:cs="Times New Roman" w:eastAsia="Times New Roman" w:hAnsi="Times New Roman"/>
          <w:sz w:val="17"/>
          <w:szCs w:val="17"/>
          <w:color w:val="auto"/>
        </w:rPr>
        <w:t>Tangible equity is defined as shareholders' equity plus mezzanine Series A Preferred Shares and the deferred retroactive reinsurance gain less goodwill and intangible assets, net of amortization. Tangible equity per share represents tangible equity divided by the sum of total common shares outstanding plus the common shares resulting from an assumed conversion of the outstanding Series A Preferred Shares into common shares (at the conversion price effective as of the last day of the applicable period). Our definitions of tangible equity and tangible equity per share may not be comparable to that of other companies, and they should not be viewed as a substitute for shareholders’ equity and shareholders’ equity per share calculated in accordance with GAAP.</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reconciles shareholders’ equity to tangible equity as of December 31, 2024, 2023 and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center"/>
              <w:ind w:right="139"/>
              <w:spacing w:after="0" w:line="137"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center"/>
              <w:ind w:right="139"/>
              <w:spacing w:after="0" w:line="137"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ind w:right="319"/>
              <w:spacing w:after="0" w:line="137"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3"/>
        </w:trPr>
        <w:tc>
          <w:tcPr>
            <w:tcW w:w="3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460,915</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534,621</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553,766</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2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redeemable preferred shares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reinsurance gain</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Tangible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45,644,318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37,641,563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37,470,237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Common shares from assumed conversion of</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Series A Preferred Shares</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13,521,635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5,971,184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5,640,158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44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Common shares outstanding after assumed</w:t>
            </w:r>
          </w:p>
        </w:tc>
        <w:tc>
          <w:tcPr>
            <w:tcW w:w="2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59,165,953</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43,612,747</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43,110,395</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Series A Preferred Shares</w:t>
            </w: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-2038350</wp:posOffset>
            </wp:positionV>
            <wp:extent cx="679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9" w:lineRule="exact"/>
        <w:rPr>
          <w:sz w:val="20"/>
          <w:szCs w:val="20"/>
          <w:color w:val="auto"/>
        </w:rPr>
      </w:pPr>
    </w:p>
    <w:p>
      <w:pPr>
        <w:ind w:right="60" w:firstLine="363"/>
        <w:spacing w:after="0" w:line="279" w:lineRule="auto"/>
        <w:rPr>
          <w:sz w:val="20"/>
          <w:szCs w:val="20"/>
          <w:color w:val="auto"/>
        </w:rPr>
      </w:pPr>
      <w:r>
        <w:rPr>
          <w:rFonts w:ascii="Times New Roman" w:cs="Times New Roman" w:eastAsia="Times New Roman" w:hAnsi="Times New Roman"/>
          <w:sz w:val="17"/>
          <w:szCs w:val="17"/>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9" w:lineRule="exact"/>
        <w:rPr>
          <w:sz w:val="20"/>
          <w:szCs w:val="20"/>
          <w:color w:val="auto"/>
        </w:rPr>
      </w:pPr>
    </w:p>
    <w:p>
      <w:pPr>
        <w:ind w:right="200" w:firstLine="363"/>
        <w:spacing w:after="0" w:line="280" w:lineRule="auto"/>
        <w:rPr>
          <w:sz w:val="20"/>
          <w:szCs w:val="20"/>
          <w:color w:val="auto"/>
        </w:rPr>
      </w:pPr>
      <w:r>
        <w:rPr>
          <w:rFonts w:ascii="Times New Roman" w:cs="Times New Roman" w:eastAsia="Times New Roman" w:hAnsi="Times New Roman"/>
          <w:sz w:val="18"/>
          <w:szCs w:val="18"/>
          <w:color w:val="auto"/>
        </w:rPr>
        <w:t>Our fixed maturity and preferred stock investments and borrowings are subject to interest rate risk. Increases and decreases in interest rates typically result in decreases and increases, respectively, in the fair value of these financial instruments.</w:t>
      </w:r>
    </w:p>
    <w:p>
      <w:pPr>
        <w:spacing w:after="0" w:line="55" w:lineRule="exact"/>
        <w:rPr>
          <w:sz w:val="20"/>
          <w:szCs w:val="20"/>
          <w:color w:val="auto"/>
        </w:rPr>
      </w:pPr>
    </w:p>
    <w:p>
      <w:pPr>
        <w:ind w:right="100" w:firstLine="363"/>
        <w:spacing w:after="0" w:line="255" w:lineRule="auto"/>
        <w:rPr>
          <w:sz w:val="20"/>
          <w:szCs w:val="20"/>
          <w:color w:val="auto"/>
        </w:rPr>
      </w:pPr>
      <w:r>
        <w:rPr>
          <w:rFonts w:ascii="Times New Roman" w:cs="Times New Roman" w:eastAsia="Times New Roman" w:hAnsi="Times New Roman"/>
          <w:sz w:val="18"/>
          <w:szCs w:val="18"/>
          <w:color w:val="auto"/>
        </w:rPr>
        <w:t>The majority of our investable assets come from premiums paid by policyholders. These funds are invested predominantly in high quality corporate, government and municipal bonds with relatively short durations. Total invested assets and cash, excluding restricted cash, has an average duration of approximately 3.4 years at December 31, 2024, and fixed maturity securities and preferred stock investments in the portfolio have an average rating by at least one nationally recognized rating organization of “AA-”. See Note 3 to the Notes to the Audited Consolidated Financial Statements for disclosure of contractual maturity dates of our fixed maturity portfolio. The changes in the estimated fair value of the fixed maturity portfolio classified as available-for-sale are presented as a component of shareholders’ equity in accumulated other comprehensive (loss) income, net of taxes.</w:t>
      </w:r>
    </w:p>
    <w:p>
      <w:pPr>
        <w:spacing w:after="0" w:line="78" w:lineRule="exact"/>
        <w:rPr>
          <w:sz w:val="20"/>
          <w:szCs w:val="20"/>
          <w:color w:val="auto"/>
        </w:rPr>
      </w:pPr>
    </w:p>
    <w:p>
      <w:pPr>
        <w:ind w:right="60" w:firstLine="363"/>
        <w:spacing w:after="0" w:line="280" w:lineRule="auto"/>
        <w:rPr>
          <w:sz w:val="20"/>
          <w:szCs w:val="20"/>
          <w:color w:val="auto"/>
        </w:rPr>
      </w:pPr>
      <w:r>
        <w:rPr>
          <w:rFonts w:ascii="Times New Roman" w:cs="Times New Roman" w:eastAsia="Times New Roman" w:hAnsi="Times New Roman"/>
          <w:sz w:val="18"/>
          <w:szCs w:val="18"/>
          <w:color w:val="auto"/>
        </w:rPr>
        <w:t>We work to manage the impact of interest rate fluctuations on our fixed maturity and preferred stock portfolio. The effective duration is managed with consideration given to the estimated duration of our liabilities. We have investment guidelines that set targets for average duration and maturity.</w:t>
      </w:r>
    </w:p>
    <w:p>
      <w:pPr>
        <w:spacing w:after="0" w:line="55" w:lineRule="exact"/>
        <w:rPr>
          <w:sz w:val="20"/>
          <w:szCs w:val="20"/>
          <w:color w:val="auto"/>
        </w:rPr>
      </w:pPr>
    </w:p>
    <w:p>
      <w:pPr>
        <w:ind w:firstLine="363"/>
        <w:spacing w:after="0" w:line="254" w:lineRule="auto"/>
        <w:rPr>
          <w:sz w:val="20"/>
          <w:szCs w:val="20"/>
          <w:color w:val="auto"/>
        </w:rPr>
      </w:pPr>
      <w:r>
        <w:rPr>
          <w:rFonts w:ascii="Times New Roman" w:cs="Times New Roman" w:eastAsia="Times New Roman" w:hAnsi="Times New Roman"/>
          <w:sz w:val="18"/>
          <w:szCs w:val="18"/>
          <w:color w:val="auto"/>
        </w:rPr>
        <w:t>Our investment manager employs a model to estimate the effect of interest rate risk on the fair values of our fixed maturity and preferred stock securities and our bank loan participations. Our bank loan participations are primarily floating-rate debt and have limited exposure to interest rate risk with the majority resetting monthly. Therefore, their fair values are less sensitive to changes in interest rates than our fixed maturity and preferred stock securities. The model estimates the impact of interest rate changes on a wide range of factors, including duration and prepayment. Fair values of borrowings are estimated based on the net present value of cash flows, using a representative set of possible future interest rate scenarios. The model requires that numerous assumptions be made about the future. To the extent that any of the assumptions are invalid, incorrect estimates could result. The usefulness of a single point-in-time model is limited, as it is unable to accurately incorporate the full complexity of market interactions.</w:t>
      </w:r>
    </w:p>
    <w:p>
      <w:pPr>
        <w:spacing w:after="0" w:line="79" w:lineRule="exact"/>
        <w:rPr>
          <w:sz w:val="20"/>
          <w:szCs w:val="20"/>
          <w:color w:val="auto"/>
        </w:rPr>
      </w:pPr>
    </w:p>
    <w:p>
      <w:pPr>
        <w:ind w:right="440" w:firstLine="363"/>
        <w:spacing w:after="0" w:line="280" w:lineRule="auto"/>
        <w:rPr>
          <w:sz w:val="20"/>
          <w:szCs w:val="20"/>
          <w:color w:val="auto"/>
        </w:rPr>
      </w:pPr>
      <w:r>
        <w:rPr>
          <w:rFonts w:ascii="Times New Roman" w:cs="Times New Roman" w:eastAsia="Times New Roman" w:hAnsi="Times New Roman"/>
          <w:sz w:val="18"/>
          <w:szCs w:val="18"/>
          <w:color w:val="auto"/>
        </w:rPr>
        <w:t>The following table summarizes our interest rate risk and shows the effect of hypothetical changes in interest rates as of December 31, 2024. The selected hypothetical changes do not indicate what could be the potential best or worst case scenarios.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340" w:type="dxa"/>
            <w:vAlign w:val="bottom"/>
            <w:gridSpan w:val="3"/>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580" w:type="dxa"/>
            <w:vAlign w:val="bottom"/>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rPr>
              <w:t>Hypothetical</w:t>
            </w:r>
          </w:p>
        </w:tc>
        <w:tc>
          <w:tcPr>
            <w:tcW w:w="300" w:type="dxa"/>
            <w:vAlign w:val="bottom"/>
          </w:tcPr>
          <w:p>
            <w:pPr>
              <w:spacing w:after="0"/>
              <w:rPr>
                <w:sz w:val="11"/>
                <w:szCs w:val="11"/>
                <w:color w:val="auto"/>
              </w:rPr>
            </w:pPr>
          </w:p>
        </w:tc>
        <w:tc>
          <w:tcPr>
            <w:tcW w:w="1460" w:type="dxa"/>
            <w:vAlign w:val="bottom"/>
          </w:tcPr>
          <w:p>
            <w:pPr>
              <w:jc w:val="center"/>
              <w:ind w:right="75"/>
              <w:spacing w:after="0" w:line="130"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720" w:type="dxa"/>
            <w:vAlign w:val="bottom"/>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300" w:type="dxa"/>
            <w:vAlign w:val="bottom"/>
          </w:tcPr>
          <w:p>
            <w:pPr>
              <w:spacing w:after="0"/>
              <w:rPr>
                <w:sz w:val="12"/>
                <w:szCs w:val="12"/>
                <w:color w:val="auto"/>
              </w:rPr>
            </w:pPr>
          </w:p>
        </w:tc>
        <w:tc>
          <w:tcPr>
            <w:tcW w:w="1460" w:type="dxa"/>
            <w:vAlign w:val="bottom"/>
          </w:tcPr>
          <w:p>
            <w:pPr>
              <w:jc w:val="center"/>
              <w:ind w:right="95"/>
              <w:spacing w:after="0" w:line="146" w:lineRule="exact"/>
              <w:rPr>
                <w:sz w:val="20"/>
                <w:szCs w:val="20"/>
                <w:color w:val="auto"/>
              </w:rPr>
            </w:pPr>
            <w:r>
              <w:rPr>
                <w:rFonts w:ascii="Times New Roman" w:cs="Times New Roman" w:eastAsia="Times New Roman" w:hAnsi="Times New Roman"/>
                <w:sz w:val="14"/>
                <w:szCs w:val="14"/>
                <w:b w:val="1"/>
                <w:bCs w:val="1"/>
                <w:color w:val="auto"/>
                <w:w w:val="99"/>
              </w:rPr>
              <w:t>Fair Value after</w:t>
            </w:r>
          </w:p>
        </w:tc>
        <w:tc>
          <w:tcPr>
            <w:tcW w:w="1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Hypothetical Percentage</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5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Interest Rates</w:t>
            </w:r>
          </w:p>
        </w:tc>
        <w:tc>
          <w:tcPr>
            <w:tcW w:w="300" w:type="dxa"/>
            <w:vAlign w:val="bottom"/>
          </w:tcPr>
          <w:p>
            <w:pPr>
              <w:spacing w:after="0"/>
              <w:rPr>
                <w:sz w:val="12"/>
                <w:szCs w:val="12"/>
                <w:color w:val="auto"/>
              </w:rPr>
            </w:pPr>
          </w:p>
        </w:tc>
        <w:tc>
          <w:tcPr>
            <w:tcW w:w="1460" w:type="dxa"/>
            <w:vAlign w:val="bottom"/>
          </w:tcPr>
          <w:p>
            <w:pPr>
              <w:jc w:val="center"/>
              <w:ind w:right="95"/>
              <w:spacing w:after="0" w:line="148" w:lineRule="exact"/>
              <w:rPr>
                <w:sz w:val="20"/>
                <w:szCs w:val="20"/>
                <w:color w:val="auto"/>
              </w:rPr>
            </w:pPr>
            <w:r>
              <w:rPr>
                <w:rFonts w:ascii="Times New Roman" w:cs="Times New Roman" w:eastAsia="Times New Roman" w:hAnsi="Times New Roman"/>
                <w:sz w:val="14"/>
                <w:szCs w:val="14"/>
                <w:b w:val="1"/>
                <w:bCs w:val="1"/>
                <w:color w:val="auto"/>
              </w:rPr>
              <w:t>Hypothetical Change</w:t>
            </w:r>
          </w:p>
        </w:tc>
        <w:tc>
          <w:tcPr>
            <w:tcW w:w="17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Increase (Decrease) in</w:t>
            </w:r>
          </w:p>
        </w:tc>
        <w:tc>
          <w:tcPr>
            <w:tcW w:w="0" w:type="dxa"/>
            <w:vAlign w:val="bottom"/>
          </w:tcPr>
          <w:p>
            <w:pPr>
              <w:spacing w:after="0"/>
              <w:rPr>
                <w:sz w:val="1"/>
                <w:szCs w:val="1"/>
                <w:color w:val="auto"/>
              </w:rPr>
            </w:pPr>
          </w:p>
        </w:tc>
      </w:tr>
      <w:tr>
        <w:trPr>
          <w:trHeight w:val="196"/>
        </w:trPr>
        <w:tc>
          <w:tcPr>
            <w:tcW w:w="4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(bp=basis points)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in Interest Rates</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340" w:type="dxa"/>
            <w:vAlign w:val="bottom"/>
            <w:gridSpan w:val="3"/>
          </w:tcPr>
          <w:p>
            <w:pPr>
              <w:jc w:val="right"/>
              <w:ind w:right="995"/>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maturity and preferred stock investments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1,260,978</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 bp decrease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1,376,200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28"/>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bp decrease</w:t>
            </w:r>
          </w:p>
        </w:tc>
        <w:tc>
          <w:tcPr>
            <w:tcW w:w="30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1,318,576</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28"/>
        </w:trPr>
        <w:tc>
          <w:tcPr>
            <w:tcW w:w="4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 bp increase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1,203,405</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8"/>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 bp increase</w:t>
            </w:r>
          </w:p>
        </w:tc>
        <w:tc>
          <w:tcPr>
            <w:tcW w:w="30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1,145,856</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8"/>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142,410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 bp decrease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142,576</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8"/>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bp decrease</w:t>
            </w:r>
          </w:p>
        </w:tc>
        <w:tc>
          <w:tcPr>
            <w:tcW w:w="30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142,486</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8"/>
        </w:trPr>
        <w:tc>
          <w:tcPr>
            <w:tcW w:w="4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 bp increase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142,347</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8"/>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 bp increase</w:t>
            </w:r>
          </w:p>
        </w:tc>
        <w:tc>
          <w:tcPr>
            <w:tcW w:w="30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142,298</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8"/>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debt and junior subordinated debt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323,553</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 bp decrease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297,988</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8"/>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bp decrease</w:t>
            </w:r>
          </w:p>
        </w:tc>
        <w:tc>
          <w:tcPr>
            <w:tcW w:w="30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310,770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8"/>
        </w:trPr>
        <w:tc>
          <w:tcPr>
            <w:tcW w:w="4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 bp increase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336,335</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 bp increase</w:t>
            </w:r>
          </w:p>
        </w:tc>
        <w:tc>
          <w:tcPr>
            <w:tcW w:w="300" w:type="dxa"/>
            <w:vAlign w:val="bottom"/>
          </w:tcPr>
          <w:p>
            <w:pPr>
              <w:spacing w:after="0"/>
              <w:rPr>
                <w:sz w:val="20"/>
                <w:szCs w:val="20"/>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349,118</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119" w:lineRule="exact"/>
        <w:rPr>
          <w:sz w:val="20"/>
          <w:szCs w:val="20"/>
          <w:color w:val="auto"/>
        </w:rPr>
      </w:pPr>
    </w:p>
    <w:p>
      <w:pPr>
        <w:ind w:right="200" w:firstLine="363"/>
        <w:spacing w:after="0" w:line="280" w:lineRule="auto"/>
        <w:rPr>
          <w:sz w:val="20"/>
          <w:szCs w:val="20"/>
          <w:color w:val="auto"/>
        </w:rPr>
      </w:pPr>
      <w:r>
        <w:rPr>
          <w:rFonts w:ascii="Times New Roman" w:cs="Times New Roman" w:eastAsia="Times New Roman" w:hAnsi="Times New Roman"/>
          <w:sz w:val="18"/>
          <w:szCs w:val="18"/>
          <w:color w:val="auto"/>
        </w:rPr>
        <w:t xml:space="preserve">A portion of our equity securities portfolio is invested in common stocks, which have historically produced higher long-term returns relative to fixed maturities. The changes in the estimated fair value of the common stocks in our equity securities portfolio are </w:t>
      </w:r>
      <w:r>
        <w:rPr>
          <w:rFonts w:ascii="Times New Roman" w:cs="Times New Roman" w:eastAsia="Times New Roman" w:hAnsi="Times New Roman"/>
          <w:sz w:val="18"/>
          <w:szCs w:val="18"/>
          <w:color w:val="231F20"/>
        </w:rPr>
        <w:t>recognized in net income</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ind w:right="260" w:firstLine="363"/>
        <w:spacing w:after="0" w:line="280" w:lineRule="auto"/>
        <w:rPr>
          <w:sz w:val="20"/>
          <w:szCs w:val="20"/>
          <w:color w:val="auto"/>
        </w:rPr>
      </w:pPr>
      <w:r>
        <w:rPr>
          <w:rFonts w:ascii="Times New Roman" w:cs="Times New Roman" w:eastAsia="Times New Roman" w:hAnsi="Times New Roman"/>
          <w:sz w:val="18"/>
          <w:szCs w:val="18"/>
          <w:color w:val="auto"/>
        </w:rPr>
        <w:t>At December 31, 2024, our common stock investments were concentrated in terms of the number of issuers and industries. Such concentrations can lead to higher levels of price volatility.</w:t>
      </w:r>
    </w:p>
    <w:p>
      <w:pPr>
        <w:spacing w:after="0" w:line="55" w:lineRule="exact"/>
        <w:rPr>
          <w:sz w:val="20"/>
          <w:szCs w:val="20"/>
          <w:color w:val="auto"/>
        </w:rPr>
      </w:pPr>
    </w:p>
    <w:p>
      <w:pPr>
        <w:ind w:right="200" w:firstLine="363"/>
        <w:spacing w:after="0" w:line="259" w:lineRule="auto"/>
        <w:rPr>
          <w:sz w:val="20"/>
          <w:szCs w:val="20"/>
          <w:color w:val="auto"/>
        </w:rPr>
      </w:pPr>
      <w:r>
        <w:rPr>
          <w:rFonts w:ascii="Times New Roman" w:cs="Times New Roman" w:eastAsia="Times New Roman" w:hAnsi="Times New Roman"/>
          <w:sz w:val="18"/>
          <w:szCs w:val="18"/>
          <w:color w:val="auto"/>
        </w:rPr>
        <w:t>The following table summarizes the equity price risk related to common stock and shows the effect of a hypothetical 35% increase or decrease in the fair value of the common stocks in our equity securities portfolio as of December 31, 2024. We believe that this range represents a reasonably likely scenario, as the largest annual increases and decreases in the S&amp;P 500 Index in the past twenty-five years were 29.6% in 2013 and (38.5%) in 2008. The selected hypothetical changes do not indicate what could be the potential best or worst case scenarios.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6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right="102"/>
              <w:spacing w:after="0" w:line="130"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6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Hypothetical</w:t>
            </w:r>
          </w:p>
        </w:tc>
        <w:tc>
          <w:tcPr>
            <w:tcW w:w="200" w:type="dxa"/>
            <w:vAlign w:val="bottom"/>
          </w:tcPr>
          <w:p>
            <w:pPr>
              <w:spacing w:after="0"/>
              <w:rPr>
                <w:sz w:val="12"/>
                <w:szCs w:val="12"/>
                <w:color w:val="auto"/>
              </w:rPr>
            </w:pPr>
          </w:p>
        </w:tc>
        <w:tc>
          <w:tcPr>
            <w:tcW w:w="1280" w:type="dxa"/>
            <w:vAlign w:val="bottom"/>
          </w:tcPr>
          <w:p>
            <w:pPr>
              <w:jc w:val="center"/>
              <w:ind w:right="102"/>
              <w:spacing w:after="0" w:line="146" w:lineRule="exact"/>
              <w:rPr>
                <w:sz w:val="20"/>
                <w:szCs w:val="20"/>
                <w:color w:val="auto"/>
              </w:rPr>
            </w:pPr>
            <w:r>
              <w:rPr>
                <w:rFonts w:ascii="Times New Roman" w:cs="Times New Roman" w:eastAsia="Times New Roman" w:hAnsi="Times New Roman"/>
                <w:sz w:val="14"/>
                <w:szCs w:val="14"/>
                <w:b w:val="1"/>
                <w:bCs w:val="1"/>
                <w:color w:val="auto"/>
              </w:rPr>
              <w:t>Fair Value after</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02"/>
              <w:spacing w:after="0" w:line="148" w:lineRule="exact"/>
              <w:rPr>
                <w:sz w:val="20"/>
                <w:szCs w:val="20"/>
                <w:color w:val="auto"/>
              </w:rPr>
            </w:pPr>
            <w:r>
              <w:rPr>
                <w:rFonts w:ascii="Times New Roman" w:cs="Times New Roman" w:eastAsia="Times New Roman" w:hAnsi="Times New Roman"/>
                <w:sz w:val="14"/>
                <w:szCs w:val="14"/>
                <w:b w:val="1"/>
                <w:bCs w:val="1"/>
                <w:color w:val="auto"/>
              </w:rPr>
              <w:t>Hypothetical</w:t>
            </w: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Change</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Change in Prices</w:t>
            </w:r>
          </w:p>
        </w:tc>
        <w:tc>
          <w:tcPr>
            <w:tcW w:w="0" w:type="dxa"/>
            <w:vAlign w:val="bottom"/>
          </w:tcPr>
          <w:p>
            <w:pPr>
              <w:spacing w:after="0"/>
              <w:rPr>
                <w:sz w:val="1"/>
                <w:szCs w:val="1"/>
                <w:color w:val="auto"/>
              </w:rPr>
            </w:pPr>
          </w:p>
        </w:tc>
      </w:tr>
      <w:tr>
        <w:trPr>
          <w:trHeight w:val="195"/>
        </w:trPr>
        <w:tc>
          <w:tcPr>
            <w:tcW w:w="6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 - common stock</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15,234</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increase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20,566</w:t>
            </w:r>
          </w:p>
        </w:tc>
        <w:tc>
          <w:tcPr>
            <w:tcW w:w="0" w:type="dxa"/>
            <w:vAlign w:val="bottom"/>
          </w:tcPr>
          <w:p>
            <w:pPr>
              <w:spacing w:after="0"/>
              <w:rPr>
                <w:sz w:val="1"/>
                <w:szCs w:val="1"/>
                <w:color w:val="auto"/>
              </w:rPr>
            </w:pPr>
          </w:p>
        </w:tc>
      </w:tr>
      <w:tr>
        <w:trPr>
          <w:trHeight w:val="234"/>
        </w:trPr>
        <w:tc>
          <w:tcPr>
            <w:tcW w:w="6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 decrease</w:t>
            </w:r>
          </w:p>
        </w:tc>
        <w:tc>
          <w:tcPr>
            <w:tcW w:w="200" w:type="dxa"/>
            <w:vAlign w:val="bottom"/>
          </w:tcPr>
          <w:p>
            <w:pPr>
              <w:spacing w:after="0"/>
              <w:rPr>
                <w:sz w:val="20"/>
                <w:szCs w:val="20"/>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9,902</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1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The report of our independent registered public accounting firm and our Consolidated Financial Statements and required Financial Statement Schedules are filed pursuant to this Item 8 and are included later in this report. See Index to Financial Statements and Schedules on page F-1.</w:t>
      </w:r>
    </w:p>
    <w:p>
      <w:pPr>
        <w:spacing w:after="0" w:line="5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19" w:lineRule="exact"/>
        <w:rPr>
          <w:sz w:val="20"/>
          <w:szCs w:val="20"/>
          <w:color w:val="auto"/>
        </w:rPr>
      </w:pPr>
    </w:p>
    <w:p>
      <w:pPr>
        <w:ind w:right="20" w:firstLine="323"/>
        <w:spacing w:after="0" w:line="271"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 In connection with the preparation of this Annual Report on Form 10-K, our management carried out an evaluation, under the supervision and with the participation of our CEO and CFO, as of December 31, 2024,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December 31,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19" w:lineRule="exact"/>
        <w:rPr>
          <w:sz w:val="20"/>
          <w:szCs w:val="20"/>
          <w:color w:val="auto"/>
        </w:rPr>
      </w:pPr>
    </w:p>
    <w:p>
      <w:pPr>
        <w:ind w:right="40" w:firstLine="323"/>
        <w:spacing w:after="0" w:line="252"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for the Company, as such term is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pertain to the maintenance of records that, in reasonable detail, accurately and fairly reflect the transactions and dispositions of our assets;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provide reasonable assurance regarding prevention or timely detection of unauthorized acquisition, use or disposition of our assets that could have a material effect on our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0" w:firstLine="323"/>
        <w:spacing w:after="0" w:line="259" w:lineRule="auto"/>
        <w:rPr>
          <w:sz w:val="20"/>
          <w:szCs w:val="20"/>
          <w:color w:val="auto"/>
        </w:rPr>
      </w:pPr>
      <w:r>
        <w:rPr>
          <w:rFonts w:ascii="Times New Roman" w:cs="Times New Roman" w:eastAsia="Times New Roman" w:hAnsi="Times New Roman"/>
          <w:sz w:val="18"/>
          <w:szCs w:val="18"/>
          <w:color w:val="auto"/>
        </w:rPr>
        <w:t xml:space="preserve">Management has conducted an assessment, including testing, of the effectiveness of our internal control over financial reporting as of December 31, 2024. In making its assessment of internal control over financial reporting, management used the criteria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Based on this assessment, the Company’s management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concluded that, as of December 31, 2024, the Company’s internal control over financial reporting was effective.</w:t>
      </w:r>
    </w:p>
    <w:p>
      <w:pPr>
        <w:spacing w:after="0" w:line="74" w:lineRule="exact"/>
        <w:rPr>
          <w:sz w:val="20"/>
          <w:szCs w:val="20"/>
          <w:color w:val="auto"/>
        </w:rPr>
      </w:pPr>
    </w:p>
    <w:p>
      <w:pPr>
        <w:ind w:firstLine="323"/>
        <w:spacing w:after="0" w:line="259"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that audited the Consolidated Financial Statements of the Company included in this Annual Report, has audited the effectiveness of internal control over financial reporting as of December 31, 2024. Their attestation report, which expresses an unqualified opinion on the effectiveness of the Company’s internal control over financial reporting as of December 31, 2024, is included with our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9" w:lineRule="exact"/>
        <w:rPr>
          <w:sz w:val="20"/>
          <w:szCs w:val="20"/>
          <w:color w:val="auto"/>
        </w:rPr>
      </w:pPr>
    </w:p>
    <w:p>
      <w:pPr>
        <w:ind w:right="120" w:firstLine="323"/>
        <w:spacing w:after="0" w:line="26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our quarter ended December 31, 2024 that have materially affected, or are reasonably likely to materially affect, our internal control over financial reporting.</w:t>
      </w:r>
    </w:p>
    <w:p>
      <w:pPr>
        <w:spacing w:after="0" w:line="69" w:lineRule="exact"/>
        <w:rPr>
          <w:sz w:val="20"/>
          <w:szCs w:val="20"/>
          <w:color w:val="auto"/>
        </w:rPr>
      </w:pPr>
    </w:p>
    <w:p>
      <w:pPr>
        <w:ind w:right="20" w:firstLine="323"/>
        <w:spacing w:after="0" w:line="264"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6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1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19" w:lineRule="exact"/>
        <w:rPr>
          <w:sz w:val="20"/>
          <w:szCs w:val="20"/>
          <w:color w:val="auto"/>
        </w:rPr>
      </w:pPr>
    </w:p>
    <w:p>
      <w:pPr>
        <w:ind w:firstLine="323"/>
        <w:spacing w:after="0" w:line="264" w:lineRule="auto"/>
        <w:rPr>
          <w:sz w:val="20"/>
          <w:szCs w:val="20"/>
          <w:color w:val="auto"/>
        </w:rPr>
      </w:pPr>
      <w:r>
        <w:rPr>
          <w:rFonts w:ascii="Times New Roman" w:cs="Times New Roman" w:eastAsia="Times New Roman" w:hAnsi="Times New Roman"/>
          <w:sz w:val="18"/>
          <w:szCs w:val="18"/>
          <w:color w:val="auto"/>
        </w:rPr>
        <w:t>The information required by Item 10 may be incorporated by reference to the definitive James River Group Holdings, Ltd. Proxy Statement, or alternatively, disclosed in an amendment to this Annual Report on Form 10-K, in either case to be filed with the SEC not later than 120 days after the end of the fiscal year covered by this Annual Report on Form 10-K.</w:t>
      </w:r>
    </w:p>
    <w:p>
      <w:pPr>
        <w:spacing w:after="0" w:line="69" w:lineRule="exact"/>
        <w:rPr>
          <w:sz w:val="20"/>
          <w:szCs w:val="20"/>
          <w:color w:val="auto"/>
        </w:rPr>
      </w:pPr>
    </w:p>
    <w:p>
      <w:pPr>
        <w:ind w:right="80" w:firstLine="323"/>
        <w:spacing w:after="0" w:line="264" w:lineRule="auto"/>
        <w:rPr>
          <w:sz w:val="20"/>
          <w:szCs w:val="20"/>
          <w:color w:val="auto"/>
        </w:rPr>
      </w:pPr>
      <w:r>
        <w:rPr>
          <w:rFonts w:ascii="Times New Roman" w:cs="Times New Roman" w:eastAsia="Times New Roman" w:hAnsi="Times New Roman"/>
          <w:sz w:val="18"/>
          <w:szCs w:val="18"/>
          <w:color w:val="auto"/>
        </w:rPr>
        <w:t>The Company has adopted an insider trading policy which governs transactions in our securities by the Company's directors, officers and employees (including temporary employees) and is designed to promote compliance with insider trading laws, rules and regulations and listing standards applicable to the Company. A copy of our insider trading policy is filed with this Annual Report on Form 10-K as Exhibit 19.1.</w:t>
      </w:r>
    </w:p>
    <w:p>
      <w:pPr>
        <w:spacing w:after="0" w:line="6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19" w:lineRule="exact"/>
        <w:rPr>
          <w:sz w:val="20"/>
          <w:szCs w:val="20"/>
          <w:color w:val="auto"/>
        </w:rPr>
      </w:pPr>
    </w:p>
    <w:p>
      <w:pPr>
        <w:ind w:firstLine="323"/>
        <w:spacing w:after="0" w:line="264" w:lineRule="auto"/>
        <w:rPr>
          <w:sz w:val="20"/>
          <w:szCs w:val="20"/>
          <w:color w:val="auto"/>
        </w:rPr>
      </w:pPr>
      <w:r>
        <w:rPr>
          <w:rFonts w:ascii="Times New Roman" w:cs="Times New Roman" w:eastAsia="Times New Roman" w:hAnsi="Times New Roman"/>
          <w:sz w:val="18"/>
          <w:szCs w:val="18"/>
          <w:color w:val="auto"/>
        </w:rPr>
        <w:t>The information required by Item 11 may be incorporated by reference to the definitive James River Group Holdings, Ltd. Proxy Statement, or alternatively, disclosed in an amendment to this Annual Report on Form 10-K, in either case to be filed with the SEC not later than 120 days after the end of the fiscal year covered by this Annual Report on Form 10-K.</w:t>
      </w:r>
    </w:p>
    <w:p>
      <w:pPr>
        <w:spacing w:after="0" w:line="65" w:lineRule="exact"/>
        <w:rPr>
          <w:sz w:val="20"/>
          <w:szCs w:val="20"/>
          <w:color w:val="auto"/>
        </w:rPr>
      </w:pPr>
    </w:p>
    <w:p>
      <w:pPr>
        <w:ind w:left="820" w:right="560" w:hanging="967"/>
        <w:spacing w:after="0" w:line="284"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52" w:lineRule="exact"/>
        <w:rPr>
          <w:sz w:val="20"/>
          <w:szCs w:val="20"/>
          <w:color w:val="auto"/>
        </w:rPr>
      </w:pPr>
    </w:p>
    <w:p>
      <w:pPr>
        <w:ind w:firstLine="323"/>
        <w:spacing w:after="0" w:line="264" w:lineRule="auto"/>
        <w:rPr>
          <w:sz w:val="20"/>
          <w:szCs w:val="20"/>
          <w:color w:val="auto"/>
        </w:rPr>
      </w:pPr>
      <w:r>
        <w:rPr>
          <w:rFonts w:ascii="Times New Roman" w:cs="Times New Roman" w:eastAsia="Times New Roman" w:hAnsi="Times New Roman"/>
          <w:sz w:val="18"/>
          <w:szCs w:val="18"/>
          <w:color w:val="auto"/>
        </w:rPr>
        <w:t>The information required by Item 12 may be incorporated by reference to the definitive James River Group Holdings, Ltd. Proxy Statement, or alternatively, disclosed in an amendment to this Annual Report on Form 10-K, in either case to be filed with the SEC not later than 120 days after the end of the fiscal year covered by this Annual Report on Form 10-K.</w:t>
      </w:r>
    </w:p>
    <w:p>
      <w:pPr>
        <w:spacing w:after="0" w:line="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19" w:lineRule="exact"/>
        <w:rPr>
          <w:sz w:val="20"/>
          <w:szCs w:val="20"/>
          <w:color w:val="auto"/>
        </w:rPr>
      </w:pPr>
    </w:p>
    <w:p>
      <w:pPr>
        <w:ind w:firstLine="323"/>
        <w:spacing w:after="0" w:line="264" w:lineRule="auto"/>
        <w:rPr>
          <w:sz w:val="20"/>
          <w:szCs w:val="20"/>
          <w:color w:val="auto"/>
        </w:rPr>
      </w:pPr>
      <w:r>
        <w:rPr>
          <w:rFonts w:ascii="Times New Roman" w:cs="Times New Roman" w:eastAsia="Times New Roman" w:hAnsi="Times New Roman"/>
          <w:sz w:val="18"/>
          <w:szCs w:val="18"/>
          <w:color w:val="auto"/>
        </w:rPr>
        <w:t>The information required by Item 13 may be incorporated by reference to the definitive James River Group Holdings, Ltd. Proxy Statement, or alternatively, disclosed in an amendment to this Annual Report on Form 10-K, in either case to be filed with the SEC not later than 120 days after the end of the fiscal year covered by this Annual Report on Form 10-K.</w:t>
      </w:r>
    </w:p>
    <w:p>
      <w:pPr>
        <w:spacing w:after="0" w:line="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19" w:lineRule="exact"/>
        <w:rPr>
          <w:sz w:val="20"/>
          <w:szCs w:val="20"/>
          <w:color w:val="auto"/>
        </w:rPr>
      </w:pPr>
    </w:p>
    <w:p>
      <w:pPr>
        <w:ind w:firstLine="323"/>
        <w:spacing w:after="0" w:line="264" w:lineRule="auto"/>
        <w:rPr>
          <w:sz w:val="20"/>
          <w:szCs w:val="20"/>
          <w:color w:val="auto"/>
        </w:rPr>
      </w:pPr>
      <w:r>
        <w:rPr>
          <w:rFonts w:ascii="Times New Roman" w:cs="Times New Roman" w:eastAsia="Times New Roman" w:hAnsi="Times New Roman"/>
          <w:sz w:val="18"/>
          <w:szCs w:val="18"/>
          <w:color w:val="auto"/>
        </w:rPr>
        <w:t>The information required by Item 14 may be incorporated by reference to the definitive James River Group Holdings, Ltd. Proxy Statement, or alternatively, disclosed in an amendment to this Annual Report on Form 10-K, in either case to be filed with the SEC not later than 120 days after the end of the fiscal year covered by this Annual Report on Form 10-K.</w:t>
      </w:r>
    </w:p>
    <w:p>
      <w:pPr>
        <w:spacing w:after="0" w:line="6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 AND FINANCIAL STATEMENT SCHEDULES</w:t>
      </w:r>
    </w:p>
    <w:p>
      <w:pPr>
        <w:spacing w:after="0" w:line="115" w:lineRule="exact"/>
        <w:rPr>
          <w:sz w:val="20"/>
          <w:szCs w:val="20"/>
          <w:color w:val="auto"/>
        </w:rPr>
      </w:pPr>
    </w:p>
    <w:p>
      <w:pPr>
        <w:ind w:left="340" w:right="5740" w:hanging="333"/>
        <w:spacing w:after="0" w:line="447" w:lineRule="auto"/>
        <w:tabs>
          <w:tab w:leader="none" w:pos="271"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and (2) Financial Statements and Financial Statement Schedules. </w:t>
      </w:r>
      <w:r>
        <w:rPr>
          <w:rFonts w:ascii="Times New Roman" w:cs="Times New Roman" w:eastAsia="Times New Roman" w:hAnsi="Times New Roman"/>
          <w:sz w:val="17"/>
          <w:szCs w:val="17"/>
          <w:color w:val="auto"/>
        </w:rPr>
        <w:t>See “Index to Financial Statements and Schedules” on Page 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700" w:type="dxa"/>
            <w:vAlign w:val="bottom"/>
            <w:gridSpan w:val="20"/>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700" w:type="dxa"/>
            <w:vAlign w:val="bottom"/>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0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2.1</w:t>
            </w:r>
          </w:p>
        </w:tc>
        <w:tc>
          <w:tcPr>
            <w:tcW w:w="3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220" w:type="dxa"/>
            <w:vAlign w:val="bottom"/>
            <w:tcBorders>
              <w:top w:val="single" w:sz="8" w:color="auto"/>
              <w:bottom w:val="single" w:sz="8" w:color="0000FF"/>
            </w:tcBorders>
            <w:gridSpan w:val="11"/>
          </w:tcPr>
          <w:p>
            <w:pPr>
              <w:spacing w:after="0" w:line="188"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Stock Purchase Agreement dated November 8, 2023 by and among James River Group Holdings, Ltd. and Fleming Intermediate</w:t>
              </w:r>
            </w:hyperlink>
          </w:p>
        </w:tc>
        <w:tc>
          <w:tcPr>
            <w:tcW w:w="480" w:type="dxa"/>
            <w:vAlign w:val="bottom"/>
            <w:tcBorders>
              <w:top w:val="single" w:sz="8" w:color="auto"/>
            </w:tcBorders>
            <w:gridSpan w:val="9"/>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gridSpan w:val="20"/>
          </w:tcPr>
          <w:p>
            <w:pPr>
              <w:spacing w:after="0" w:line="154"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Holdings LLC (incorporated by reference to Exhibit 2.1 of the Current Report on Form 8-K filed on November 9, 2023, Commission</w:t>
              </w:r>
            </w:hyperlink>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40" w:type="dxa"/>
            <w:vAlign w:val="bottom"/>
            <w:tcBorders>
              <w:top w:val="single" w:sz="8" w:color="0000FF"/>
            </w:tcBorders>
            <w:gridSpan w:val="15"/>
          </w:tcPr>
          <w:p>
            <w:pPr>
              <w:spacing w:after="0" w:line="168"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File No. 001-36777)</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20"/>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Certificate of Incorporation of James River Group Holdings, Ltd. (incorporated by reference to Exhibit 3.1 of the Registration</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Statement on Form S-1, Registration No. 333-199958, filed with the Commission on November 7, 2014)</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20"/>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Certificate of Incorporation on Change of Name (incorporated by reference to Exhibit 3.2 of the Registration Statement on Form S-1,</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Registration No. 333-199958, filed with the Commission on November 7,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20"/>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Memorandum of Association of James River Group Holdings, Ltd. (incorporated by reference to Exhibit 3.3 of the Registration</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Statement on Form S-1, Registration No. 333-199958, filed with the Commission on November 7, 2014)</w:t>
              </w:r>
            </w:hyperlink>
          </w:p>
        </w:tc>
        <w:tc>
          <w:tcPr>
            <w:tcW w:w="2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20"/>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Certificate of Deposit of Memorandum of Increase of Share Capital, dated December 24, 2007 (incorporated by reference to Exhibit</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bottom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4</w:t>
              </w:r>
              <w:r>
                <w:rPr>
                  <w:rFonts w:ascii="Times New Roman" w:cs="Times New Roman" w:eastAsia="Times New Roman" w:hAnsi="Times New Roman"/>
                  <w:sz w:val="17"/>
                  <w:szCs w:val="17"/>
                  <w:color w:val="0000FF"/>
                </w:rPr>
                <w:t xml:space="preserve"> of the Registration Statement on Form S-1, Registration No. 333-199958, filed with the Commission on November 7, 2014)</w:t>
              </w:r>
            </w:hyperlink>
          </w:p>
        </w:tc>
        <w:tc>
          <w:tcPr>
            <w:tcW w:w="3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20"/>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Certificate of Deposit of Memorandum of Increase of Share Capital, dated October 7, 2009 (incorporated by reference to Exhibit 3.5</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of the Registration Statement on Form S-1, Registration No. 333-199958, filed with the Commission on November 7, 2014)</w:t>
              </w:r>
            </w:hyperlink>
          </w:p>
        </w:tc>
        <w:tc>
          <w:tcPr>
            <w:tcW w:w="620" w:type="dxa"/>
            <w:vAlign w:val="bottom"/>
            <w:tcBorders>
              <w:top w:val="single" w:sz="8" w:color="0000FF"/>
            </w:tcBorders>
            <w:gridSpan w:val="7"/>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20"/>
          </w:tcPr>
          <w:p>
            <w:pPr>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Fourth Amended and Restated Bye-Laws of James River Group Holdings, Ltd. (incorporated by reference to Exhibit 3.6 to the Annual</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20" w:type="dxa"/>
            <w:vAlign w:val="bottom"/>
            <w:tcBorders>
              <w:top w:val="single" w:sz="8" w:color="0000FF"/>
              <w:bottom w:val="single" w:sz="8" w:color="0000FF"/>
            </w:tcBorders>
            <w:gridSpan w:val="4"/>
          </w:tcPr>
          <w:p>
            <w:pPr>
              <w:spacing w:after="0" w:line="154"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Report on Form 10-K filed on February 28, 2023, Commission File No. 001-36777)</w:t>
              </w:r>
            </w:hyperlink>
          </w:p>
        </w:tc>
        <w:tc>
          <w:tcPr>
            <w:tcW w:w="3620" w:type="dxa"/>
            <w:vAlign w:val="bottom"/>
            <w:tcBorders>
              <w:top w:val="single" w:sz="8" w:color="0000FF"/>
            </w:tcBorders>
            <w:gridSpan w:val="15"/>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20"/>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Certificate of Common Shares (incorporated by reference to Exhibit 4.1 of Amendment No. 3 to the Registration Statement</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20" w:type="dxa"/>
            <w:vAlign w:val="bottom"/>
            <w:tcBorders>
              <w:top w:val="single" w:sz="8" w:color="0000FF"/>
              <w:bottom w:val="single" w:sz="8" w:color="0000FF"/>
            </w:tcBorders>
            <w:gridSpan w:val="5"/>
          </w:tcPr>
          <w:p>
            <w:pPr>
              <w:spacing w:after="0" w:line="154"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on Form S-1, Registration No. 333-199958, filed with the Commission on December 9, 2014)</w:t>
              </w:r>
            </w:hyperlink>
          </w:p>
        </w:tc>
        <w:tc>
          <w:tcPr>
            <w:tcW w:w="2740" w:type="dxa"/>
            <w:vAlign w:val="bottom"/>
            <w:tcBorders>
              <w:top w:val="single" w:sz="8" w:color="0000FF"/>
            </w:tcBorders>
            <w:gridSpan w:val="7"/>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20"/>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Amended and Restated Certificate of Designations of 7% Series A Perpetual Cumulative Convertible Preferred Shares of James River</w:t>
              </w:r>
            </w:hyperlink>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0" w:type="dxa"/>
            <w:vAlign w:val="bottom"/>
            <w:tcBorders>
              <w:top w:val="single" w:sz="8" w:color="0000FF"/>
            </w:tcBorders>
            <w:gridSpan w:val="18"/>
          </w:tcPr>
          <w:p>
            <w:pPr>
              <w:spacing w:after="0" w:line="182"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Group Holdings, Ltd. dated November 11, 2024 (incorporated by reference to Exhibit 4.2 of the Current Report on Form 8-K filed on</w:t>
              </w:r>
            </w:hyperlink>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November 13, 2024; Commission File No. 001-36777)</w:t>
              </w:r>
            </w:hyperlink>
          </w:p>
        </w:tc>
        <w:tc>
          <w:tcPr>
            <w:tcW w:w="1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gridSpan w:val="2"/>
            <w:shd w:val="clear" w:color="auto" w:fill="0000FF"/>
          </w:tcPr>
          <w:p>
            <w:pPr>
              <w:spacing w:after="0" w:line="20" w:lineRule="exact"/>
              <w:rPr>
                <w:sz w:val="1"/>
                <w:szCs w:val="1"/>
                <w:color w:val="auto"/>
              </w:rPr>
            </w:pPr>
          </w:p>
        </w:tc>
        <w:tc>
          <w:tcPr>
            <w:tcW w:w="578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Indenture, dated as of May 26, 2004, by and between James River Group, Inc. and Wilmington Trust Company, as Trustee, relating to</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Floating Rate Senior Debentures Due 2034+</w:t>
            </w:r>
          </w:p>
        </w:tc>
        <w:tc>
          <w:tcPr>
            <w:tcW w:w="0" w:type="dxa"/>
            <w:vAlign w:val="bottom"/>
          </w:tcPr>
          <w:p>
            <w:pPr>
              <w:spacing w:after="0"/>
              <w:rPr>
                <w:sz w:val="1"/>
                <w:szCs w:val="1"/>
                <w:color w:val="auto"/>
              </w:rPr>
            </w:pPr>
          </w:p>
        </w:tc>
      </w:tr>
      <w:tr>
        <w:trPr>
          <w:trHeight w:val="183"/>
        </w:trPr>
        <w:tc>
          <w:tcPr>
            <w:tcW w:w="110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4.4</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20"/>
          </w:tcPr>
          <w:p>
            <w:pPr>
              <w:spacing w:after="0" w:line="183" w:lineRule="exact"/>
              <w:rPr>
                <w:sz w:val="20"/>
                <w:szCs w:val="20"/>
                <w:color w:val="auto"/>
              </w:rPr>
            </w:pPr>
            <w:r>
              <w:rPr>
                <w:rFonts w:ascii="Times New Roman" w:cs="Times New Roman" w:eastAsia="Times New Roman" w:hAnsi="Times New Roman"/>
                <w:sz w:val="18"/>
                <w:szCs w:val="18"/>
                <w:color w:val="auto"/>
              </w:rPr>
              <w:t>Indenture, dated as of May 26, 2004, by and between James River Group, Inc. and Wilmington Trust Company, as Trustee, relating to</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Floating Rate Junior Subordinated Debentures Due 2034+</w:t>
            </w:r>
          </w:p>
        </w:tc>
        <w:tc>
          <w:tcPr>
            <w:tcW w:w="0" w:type="dxa"/>
            <w:vAlign w:val="bottom"/>
          </w:tcPr>
          <w:p>
            <w:pPr>
              <w:spacing w:after="0"/>
              <w:rPr>
                <w:sz w:val="1"/>
                <w:szCs w:val="1"/>
                <w:color w:val="auto"/>
              </w:rPr>
            </w:pPr>
          </w:p>
        </w:tc>
      </w:tr>
      <w:tr>
        <w:trPr>
          <w:trHeight w:val="183"/>
        </w:trPr>
        <w:tc>
          <w:tcPr>
            <w:tcW w:w="110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20"/>
          </w:tcPr>
          <w:p>
            <w:pPr>
              <w:spacing w:after="0" w:line="183" w:lineRule="exact"/>
              <w:rPr>
                <w:sz w:val="20"/>
                <w:szCs w:val="20"/>
                <w:color w:val="auto"/>
              </w:rPr>
            </w:pPr>
            <w:r>
              <w:rPr>
                <w:rFonts w:ascii="Times New Roman" w:cs="Times New Roman" w:eastAsia="Times New Roman" w:hAnsi="Times New Roman"/>
                <w:sz w:val="18"/>
                <w:szCs w:val="18"/>
                <w:color w:val="auto"/>
              </w:rPr>
              <w:t>Amended and Restated Declaration of Trust of James River Capital Trust I, dated as of May 26, 2004, by and among James River</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20"/>
          </w:tcPr>
          <w:p>
            <w:pPr>
              <w:spacing w:after="0" w:line="183" w:lineRule="exact"/>
              <w:rPr>
                <w:sz w:val="20"/>
                <w:szCs w:val="20"/>
                <w:color w:val="auto"/>
              </w:rPr>
            </w:pPr>
            <w:r>
              <w:rPr>
                <w:rFonts w:ascii="Times New Roman" w:cs="Times New Roman" w:eastAsia="Times New Roman" w:hAnsi="Times New Roman"/>
                <w:sz w:val="18"/>
                <w:szCs w:val="18"/>
                <w:color w:val="auto"/>
              </w:rPr>
              <w:t>Group, Inc., as Sponsor, Wilmington Trust Company, as Institutional Trustee and Delaware Trustee, the Regular Trustees (as defined</w:t>
            </w:r>
          </w:p>
        </w:tc>
        <w:tc>
          <w:tcPr>
            <w:tcW w:w="0" w:type="dxa"/>
            <w:vAlign w:val="bottom"/>
          </w:tcPr>
          <w:p>
            <w:pPr>
              <w:spacing w:after="0"/>
              <w:rPr>
                <w:sz w:val="1"/>
                <w:szCs w:val="1"/>
                <w:color w:val="auto"/>
              </w:rPr>
            </w:pPr>
          </w:p>
        </w:tc>
      </w:tr>
      <w:tr>
        <w:trPr>
          <w:trHeight w:val="228"/>
        </w:trPr>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therein), and the holders, from time to time, of undivided beneficial interests in James River Capital Trust I+</w:t>
            </w:r>
          </w:p>
        </w:tc>
        <w:tc>
          <w:tcPr>
            <w:tcW w:w="0" w:type="dxa"/>
            <w:vAlign w:val="bottom"/>
          </w:tcPr>
          <w:p>
            <w:pPr>
              <w:spacing w:after="0"/>
              <w:rPr>
                <w:sz w:val="1"/>
                <w:szCs w:val="1"/>
                <w:color w:val="auto"/>
              </w:rPr>
            </w:pPr>
          </w:p>
        </w:tc>
      </w:tr>
      <w:tr>
        <w:trPr>
          <w:trHeight w:val="180"/>
        </w:trPr>
        <w:tc>
          <w:tcPr>
            <w:tcW w:w="11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4.6</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20"/>
          </w:tcPr>
          <w:p>
            <w:pPr>
              <w:spacing w:after="0" w:line="180" w:lineRule="exact"/>
              <w:rPr>
                <w:sz w:val="20"/>
                <w:szCs w:val="20"/>
                <w:color w:val="auto"/>
              </w:rPr>
            </w:pPr>
            <w:r>
              <w:rPr>
                <w:rFonts w:ascii="Times New Roman" w:cs="Times New Roman" w:eastAsia="Times New Roman" w:hAnsi="Times New Roman"/>
                <w:sz w:val="18"/>
                <w:szCs w:val="18"/>
                <w:color w:val="auto"/>
                <w:w w:val="99"/>
              </w:rPr>
              <w:t>Preferred Securities Guarantee Agreement, dated as of May 26, 2004, by James River Group, Inc., as Guarantor, and Wilmington Trust</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Company, as Preferred Guarantee Trustee, for the benefit of the holders of James River Capital Trust I+</w:t>
            </w:r>
          </w:p>
        </w:tc>
        <w:tc>
          <w:tcPr>
            <w:tcW w:w="0" w:type="dxa"/>
            <w:vAlign w:val="bottom"/>
          </w:tcPr>
          <w:p>
            <w:pPr>
              <w:spacing w:after="0"/>
              <w:rPr>
                <w:sz w:val="1"/>
                <w:szCs w:val="1"/>
                <w:color w:val="auto"/>
              </w:rPr>
            </w:pPr>
          </w:p>
        </w:tc>
      </w:tr>
      <w:tr>
        <w:trPr>
          <w:trHeight w:val="183"/>
        </w:trPr>
        <w:tc>
          <w:tcPr>
            <w:tcW w:w="110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20"/>
          </w:tcPr>
          <w:p>
            <w:pPr>
              <w:spacing w:after="0" w:line="183" w:lineRule="exact"/>
              <w:rPr>
                <w:sz w:val="20"/>
                <w:szCs w:val="20"/>
                <w:color w:val="auto"/>
              </w:rPr>
            </w:pPr>
            <w:r>
              <w:rPr>
                <w:rFonts w:ascii="Times New Roman" w:cs="Times New Roman" w:eastAsia="Times New Roman" w:hAnsi="Times New Roman"/>
                <w:sz w:val="18"/>
                <w:szCs w:val="18"/>
                <w:color w:val="auto"/>
              </w:rPr>
              <w:t>Indenture, dated as of December 15, 2004, by and between James River Group, Inc. and Wilmington Trust Company, as Trustee,</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relating to Floating Rate Junior Subordinated Deferrable Interest Debentures Due 2034+</w:t>
            </w:r>
          </w:p>
        </w:tc>
        <w:tc>
          <w:tcPr>
            <w:tcW w:w="0" w:type="dxa"/>
            <w:vAlign w:val="bottom"/>
          </w:tcPr>
          <w:p>
            <w:pPr>
              <w:spacing w:after="0"/>
              <w:rPr>
                <w:sz w:val="1"/>
                <w:szCs w:val="1"/>
                <w:color w:val="auto"/>
              </w:rPr>
            </w:pPr>
          </w:p>
        </w:tc>
      </w:tr>
      <w:tr>
        <w:trPr>
          <w:trHeight w:val="183"/>
        </w:trPr>
        <w:tc>
          <w:tcPr>
            <w:tcW w:w="110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4.8</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20"/>
          </w:tcPr>
          <w:p>
            <w:pPr>
              <w:spacing w:after="0" w:line="183" w:lineRule="exact"/>
              <w:rPr>
                <w:sz w:val="20"/>
                <w:szCs w:val="20"/>
                <w:color w:val="auto"/>
              </w:rPr>
            </w:pPr>
            <w:r>
              <w:rPr>
                <w:rFonts w:ascii="Times New Roman" w:cs="Times New Roman" w:eastAsia="Times New Roman" w:hAnsi="Times New Roman"/>
                <w:sz w:val="18"/>
                <w:szCs w:val="18"/>
                <w:color w:val="auto"/>
              </w:rPr>
              <w:t>Amended and Restated Declaration of Trust of James River Capital Trust II, dated as of December 15, 2004, by and among James</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20"/>
          </w:tcPr>
          <w:p>
            <w:pPr>
              <w:spacing w:after="0" w:line="183" w:lineRule="exact"/>
              <w:rPr>
                <w:sz w:val="20"/>
                <w:szCs w:val="20"/>
                <w:color w:val="auto"/>
              </w:rPr>
            </w:pPr>
            <w:r>
              <w:rPr>
                <w:rFonts w:ascii="Times New Roman" w:cs="Times New Roman" w:eastAsia="Times New Roman" w:hAnsi="Times New Roman"/>
                <w:sz w:val="18"/>
                <w:szCs w:val="18"/>
                <w:color w:val="auto"/>
              </w:rPr>
              <w:t>River Group, Inc., as Sponsor, Wilmington Trust Company, as Institutional Trustee and Delaware Trustee, the Administrators (as</w:t>
            </w:r>
          </w:p>
        </w:tc>
        <w:tc>
          <w:tcPr>
            <w:tcW w:w="0" w:type="dxa"/>
            <w:vAlign w:val="bottom"/>
          </w:tcPr>
          <w:p>
            <w:pPr>
              <w:spacing w:after="0"/>
              <w:rPr>
                <w:sz w:val="1"/>
                <w:szCs w:val="1"/>
                <w:color w:val="auto"/>
              </w:rPr>
            </w:pPr>
          </w:p>
        </w:tc>
      </w:tr>
      <w:tr>
        <w:trPr>
          <w:trHeight w:val="228"/>
        </w:trPr>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defined therein), and the holders, from time to time, of undivided beneficial interests in the James River Capital Trust II+</w:t>
            </w:r>
          </w:p>
        </w:tc>
        <w:tc>
          <w:tcPr>
            <w:tcW w:w="0" w:type="dxa"/>
            <w:vAlign w:val="bottom"/>
          </w:tcPr>
          <w:p>
            <w:pPr>
              <w:spacing w:after="0"/>
              <w:rPr>
                <w:sz w:val="1"/>
                <w:szCs w:val="1"/>
                <w:color w:val="auto"/>
              </w:rPr>
            </w:pPr>
          </w:p>
        </w:tc>
      </w:tr>
      <w:tr>
        <w:trPr>
          <w:trHeight w:val="180"/>
        </w:trPr>
        <w:tc>
          <w:tcPr>
            <w:tcW w:w="11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4.9</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20"/>
          </w:tcPr>
          <w:p>
            <w:pPr>
              <w:spacing w:after="0" w:line="180" w:lineRule="exact"/>
              <w:rPr>
                <w:sz w:val="20"/>
                <w:szCs w:val="20"/>
                <w:color w:val="auto"/>
              </w:rPr>
            </w:pPr>
            <w:r>
              <w:rPr>
                <w:rFonts w:ascii="Times New Roman" w:cs="Times New Roman" w:eastAsia="Times New Roman" w:hAnsi="Times New Roman"/>
                <w:sz w:val="18"/>
                <w:szCs w:val="18"/>
                <w:color w:val="auto"/>
              </w:rPr>
              <w:t>Guarantee Agreement, dated as of December 15, 2004, by James River Group, Inc., as Guarantor, and Wilmington Trust Company, as</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Guarantee Trustee, for the benefit of the holders, from time to time, of the capital securities of James River Capital Trust II+</w:t>
            </w:r>
          </w:p>
        </w:tc>
        <w:tc>
          <w:tcPr>
            <w:tcW w:w="0" w:type="dxa"/>
            <w:vAlign w:val="bottom"/>
          </w:tcPr>
          <w:p>
            <w:pPr>
              <w:spacing w:after="0"/>
              <w:rPr>
                <w:sz w:val="1"/>
                <w:szCs w:val="1"/>
                <w:color w:val="auto"/>
              </w:rPr>
            </w:pPr>
          </w:p>
        </w:tc>
      </w:tr>
      <w:tr>
        <w:trPr>
          <w:trHeight w:val="183"/>
        </w:trPr>
        <w:tc>
          <w:tcPr>
            <w:tcW w:w="110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4.10</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20"/>
          </w:tcPr>
          <w:p>
            <w:pPr>
              <w:spacing w:after="0" w:line="183" w:lineRule="exact"/>
              <w:rPr>
                <w:sz w:val="20"/>
                <w:szCs w:val="20"/>
                <w:color w:val="auto"/>
              </w:rPr>
            </w:pPr>
            <w:r>
              <w:rPr>
                <w:rFonts w:ascii="Times New Roman" w:cs="Times New Roman" w:eastAsia="Times New Roman" w:hAnsi="Times New Roman"/>
                <w:sz w:val="18"/>
                <w:szCs w:val="18"/>
                <w:color w:val="auto"/>
              </w:rPr>
              <w:t>Indenture, dated June 15, 2006, by and between James River Group, Inc. and Wilmington Trust Company, as Trustee, relating to</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Floating Rate Junior Subordinated Deferrable Interest Debentures Due 2036+</w:t>
            </w:r>
          </w:p>
        </w:tc>
        <w:tc>
          <w:tcPr>
            <w:tcW w:w="0" w:type="dxa"/>
            <w:vAlign w:val="bottom"/>
          </w:tcPr>
          <w:p>
            <w:pPr>
              <w:spacing w:after="0"/>
              <w:rPr>
                <w:sz w:val="1"/>
                <w:szCs w:val="1"/>
                <w:color w:val="auto"/>
              </w:rPr>
            </w:pPr>
          </w:p>
        </w:tc>
      </w:tr>
      <w:tr>
        <w:trPr>
          <w:trHeight w:val="183"/>
        </w:trPr>
        <w:tc>
          <w:tcPr>
            <w:tcW w:w="110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4.11</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20"/>
          </w:tcPr>
          <w:p>
            <w:pPr>
              <w:spacing w:after="0" w:line="183" w:lineRule="exact"/>
              <w:rPr>
                <w:sz w:val="20"/>
                <w:szCs w:val="20"/>
                <w:color w:val="auto"/>
              </w:rPr>
            </w:pPr>
            <w:r>
              <w:rPr>
                <w:rFonts w:ascii="Times New Roman" w:cs="Times New Roman" w:eastAsia="Times New Roman" w:hAnsi="Times New Roman"/>
                <w:sz w:val="18"/>
                <w:szCs w:val="18"/>
                <w:color w:val="auto"/>
              </w:rPr>
              <w:t>Amended and Restated Declaration of Trust of James River Capital Trust III, dated as of June 15, 2006, by and among James River</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gridSpan w:val="20"/>
          </w:tcPr>
          <w:p>
            <w:pPr>
              <w:spacing w:after="0" w:line="203" w:lineRule="exact"/>
              <w:rPr>
                <w:sz w:val="20"/>
                <w:szCs w:val="20"/>
                <w:color w:val="auto"/>
              </w:rPr>
            </w:pPr>
            <w:r>
              <w:rPr>
                <w:rFonts w:ascii="Times New Roman" w:cs="Times New Roman" w:eastAsia="Times New Roman" w:hAnsi="Times New Roman"/>
                <w:sz w:val="18"/>
                <w:szCs w:val="18"/>
                <w:color w:val="auto"/>
              </w:rPr>
              <w:t>Group, Inc., as Sponsor, Wilmington Trust Company, as Institutional Trustee and Delaware Trustee, the Administrators (as defined</w:t>
            </w:r>
          </w:p>
        </w:tc>
        <w:tc>
          <w:tcPr>
            <w:tcW w:w="0" w:type="dxa"/>
            <w:vAlign w:val="bottom"/>
          </w:tcPr>
          <w:p>
            <w:pPr>
              <w:spacing w:after="0"/>
              <w:rPr>
                <w:sz w:val="1"/>
                <w:szCs w:val="1"/>
                <w:color w:val="auto"/>
              </w:rPr>
            </w:pPr>
          </w:p>
        </w:tc>
      </w:tr>
    </w:tbl>
    <w:p>
      <w:pPr>
        <w:jc w:val="center"/>
        <w:ind w:right="100"/>
        <w:spacing w:after="0"/>
        <w:rPr>
          <w:sz w:val="20"/>
          <w:szCs w:val="20"/>
          <w:color w:val="auto"/>
        </w:rPr>
      </w:pPr>
      <w:r>
        <w:rPr>
          <w:rFonts w:ascii="Times New Roman" w:cs="Times New Roman" w:eastAsia="Times New Roman" w:hAnsi="Times New Roman"/>
          <w:sz w:val="18"/>
          <w:szCs w:val="18"/>
          <w:color w:val="auto"/>
        </w:rPr>
        <w:t>therein) and the holders, from time to time, of undivided beneficial interests in the James River Capital Trust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720" w:type="dxa"/>
            <w:vAlign w:val="bottom"/>
            <w:gridSpan w:val="29"/>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720" w:type="dxa"/>
            <w:vAlign w:val="bottom"/>
            <w:gridSpan w:val="2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00" w:type="dxa"/>
            <w:vAlign w:val="bottom"/>
            <w:tcBorders>
              <w:top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4.12</w:t>
            </w:r>
          </w:p>
        </w:tc>
        <w:tc>
          <w:tcPr>
            <w:tcW w:w="3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700" w:type="dxa"/>
            <w:vAlign w:val="bottom"/>
            <w:tcBorders>
              <w:top w:val="single" w:sz="8" w:color="auto"/>
            </w:tcBorders>
            <w:gridSpan w:val="28"/>
          </w:tcPr>
          <w:p>
            <w:pPr>
              <w:spacing w:after="0" w:line="175" w:lineRule="exact"/>
              <w:rPr>
                <w:sz w:val="20"/>
                <w:szCs w:val="20"/>
                <w:color w:val="auto"/>
              </w:rPr>
            </w:pPr>
            <w:r>
              <w:rPr>
                <w:rFonts w:ascii="Times New Roman" w:cs="Times New Roman" w:eastAsia="Times New Roman" w:hAnsi="Times New Roman"/>
                <w:sz w:val="18"/>
                <w:szCs w:val="18"/>
                <w:color w:val="auto"/>
              </w:rPr>
              <w:t>Guarantee Agreement, dated as of June 15, 2006, by James River Group, Inc., as Guarantor, and Wilmington Trust Company, as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Guarantee Trustee, for the benefit of the holders, from time to time, of the capital securities of James River Capital Trust III+</w:t>
            </w:r>
          </w:p>
        </w:tc>
        <w:tc>
          <w:tcPr>
            <w:tcW w:w="0" w:type="dxa"/>
            <w:vAlign w:val="bottom"/>
          </w:tcPr>
          <w:p>
            <w:pPr>
              <w:spacing w:after="0"/>
              <w:rPr>
                <w:sz w:val="1"/>
                <w:szCs w:val="1"/>
                <w:color w:val="auto"/>
              </w:rPr>
            </w:pPr>
          </w:p>
        </w:tc>
      </w:tr>
      <w:tr>
        <w:trPr>
          <w:trHeight w:val="183"/>
        </w:trPr>
        <w:tc>
          <w:tcPr>
            <w:tcW w:w="1140" w:type="dxa"/>
            <w:vAlign w:val="bottom"/>
            <w:gridSpan w:val="2"/>
          </w:tcPr>
          <w:p>
            <w:pPr>
              <w:ind w:left="60"/>
              <w:spacing w:after="0" w:line="183" w:lineRule="exact"/>
              <w:rPr>
                <w:sz w:val="20"/>
                <w:szCs w:val="20"/>
                <w:color w:val="auto"/>
              </w:rPr>
            </w:pPr>
            <w:r>
              <w:rPr>
                <w:rFonts w:ascii="Times New Roman" w:cs="Times New Roman" w:eastAsia="Times New Roman" w:hAnsi="Times New Roman"/>
                <w:sz w:val="18"/>
                <w:szCs w:val="18"/>
                <w:color w:val="auto"/>
              </w:rPr>
              <w:t>4.13</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29"/>
          </w:tcPr>
          <w:p>
            <w:pPr>
              <w:spacing w:after="0" w:line="183" w:lineRule="exact"/>
              <w:rPr>
                <w:sz w:val="20"/>
                <w:szCs w:val="20"/>
                <w:color w:val="auto"/>
              </w:rPr>
            </w:pPr>
            <w:r>
              <w:rPr>
                <w:rFonts w:ascii="Times New Roman" w:cs="Times New Roman" w:eastAsia="Times New Roman" w:hAnsi="Times New Roman"/>
                <w:sz w:val="18"/>
                <w:szCs w:val="18"/>
                <w:color w:val="auto"/>
              </w:rPr>
              <w:t>Indenture, dated December 11, 2007, by and between James River Group, Inc. and Wilmington Trust Company, as Trustee, relating to</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Fixed/Floating Rate Junior Subordinated Deferrable Interest Debentures Due 2037+</w:t>
            </w:r>
          </w:p>
        </w:tc>
        <w:tc>
          <w:tcPr>
            <w:tcW w:w="0" w:type="dxa"/>
            <w:vAlign w:val="bottom"/>
          </w:tcPr>
          <w:p>
            <w:pPr>
              <w:spacing w:after="0"/>
              <w:rPr>
                <w:sz w:val="1"/>
                <w:szCs w:val="1"/>
                <w:color w:val="auto"/>
              </w:rPr>
            </w:pPr>
          </w:p>
        </w:tc>
      </w:tr>
      <w:tr>
        <w:trPr>
          <w:trHeight w:val="183"/>
        </w:trPr>
        <w:tc>
          <w:tcPr>
            <w:tcW w:w="1140" w:type="dxa"/>
            <w:vAlign w:val="bottom"/>
            <w:gridSpan w:val="2"/>
          </w:tcPr>
          <w:p>
            <w:pPr>
              <w:ind w:left="60"/>
              <w:spacing w:after="0" w:line="183" w:lineRule="exact"/>
              <w:rPr>
                <w:sz w:val="20"/>
                <w:szCs w:val="20"/>
                <w:color w:val="auto"/>
              </w:rPr>
            </w:pPr>
            <w:r>
              <w:rPr>
                <w:rFonts w:ascii="Times New Roman" w:cs="Times New Roman" w:eastAsia="Times New Roman" w:hAnsi="Times New Roman"/>
                <w:sz w:val="18"/>
                <w:szCs w:val="18"/>
                <w:color w:val="auto"/>
              </w:rPr>
              <w:t>4.14</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29"/>
          </w:tcPr>
          <w:p>
            <w:pPr>
              <w:spacing w:after="0" w:line="183" w:lineRule="exact"/>
              <w:rPr>
                <w:sz w:val="20"/>
                <w:szCs w:val="20"/>
                <w:color w:val="auto"/>
              </w:rPr>
            </w:pPr>
            <w:r>
              <w:rPr>
                <w:rFonts w:ascii="Times New Roman" w:cs="Times New Roman" w:eastAsia="Times New Roman" w:hAnsi="Times New Roman"/>
                <w:sz w:val="18"/>
                <w:szCs w:val="18"/>
                <w:color w:val="auto"/>
              </w:rPr>
              <w:t>Amended and Restated Declaration of Trust, dated December 11, 2007, by and among James River Group, Inc., as Sponsor,</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29"/>
          </w:tcPr>
          <w:p>
            <w:pPr>
              <w:spacing w:after="0" w:line="175" w:lineRule="exact"/>
              <w:rPr>
                <w:sz w:val="20"/>
                <w:szCs w:val="20"/>
                <w:color w:val="auto"/>
              </w:rPr>
            </w:pPr>
            <w:r>
              <w:rPr>
                <w:rFonts w:ascii="Times New Roman" w:cs="Times New Roman" w:eastAsia="Times New Roman" w:hAnsi="Times New Roman"/>
                <w:sz w:val="18"/>
                <w:szCs w:val="18"/>
                <w:color w:val="auto"/>
                <w:w w:val="99"/>
              </w:rPr>
              <w:t>Wilmington Trust Company, as Institutional Trustee and Delaware Trustee and the Administrators (as defined therein) and the holders,</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from time to time, of undivided beneficial interests in James River Capital Trust IV+</w:t>
            </w:r>
          </w:p>
        </w:tc>
        <w:tc>
          <w:tcPr>
            <w:tcW w:w="0" w:type="dxa"/>
            <w:vAlign w:val="bottom"/>
          </w:tcPr>
          <w:p>
            <w:pPr>
              <w:spacing w:after="0"/>
              <w:rPr>
                <w:sz w:val="1"/>
                <w:szCs w:val="1"/>
                <w:color w:val="auto"/>
              </w:rPr>
            </w:pPr>
          </w:p>
        </w:tc>
      </w:tr>
      <w:tr>
        <w:trPr>
          <w:trHeight w:val="183"/>
        </w:trPr>
        <w:tc>
          <w:tcPr>
            <w:tcW w:w="1140" w:type="dxa"/>
            <w:vAlign w:val="bottom"/>
            <w:gridSpan w:val="2"/>
          </w:tcPr>
          <w:p>
            <w:pPr>
              <w:ind w:left="60"/>
              <w:spacing w:after="0" w:line="183" w:lineRule="exact"/>
              <w:rPr>
                <w:sz w:val="20"/>
                <w:szCs w:val="20"/>
                <w:color w:val="auto"/>
              </w:rPr>
            </w:pPr>
            <w:r>
              <w:rPr>
                <w:rFonts w:ascii="Times New Roman" w:cs="Times New Roman" w:eastAsia="Times New Roman" w:hAnsi="Times New Roman"/>
                <w:sz w:val="18"/>
                <w:szCs w:val="18"/>
                <w:color w:val="auto"/>
              </w:rPr>
              <w:t>4.15</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29"/>
          </w:tcPr>
          <w:p>
            <w:pPr>
              <w:spacing w:after="0" w:line="183" w:lineRule="exact"/>
              <w:rPr>
                <w:sz w:val="20"/>
                <w:szCs w:val="20"/>
                <w:color w:val="auto"/>
              </w:rPr>
            </w:pPr>
            <w:r>
              <w:rPr>
                <w:rFonts w:ascii="Times New Roman" w:cs="Times New Roman" w:eastAsia="Times New Roman" w:hAnsi="Times New Roman"/>
                <w:sz w:val="18"/>
                <w:szCs w:val="18"/>
                <w:color w:val="auto"/>
              </w:rPr>
              <w:t>Guarantee Agreement, dated as of December 11, 2007, by James River Group, Inc., as Guarantor, and Wilmington Trust Company, as</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Guarantee Trustee, for the benefit of the holders, from time to time, of the capital securities of James River Capital Trust IV+</w:t>
            </w:r>
          </w:p>
        </w:tc>
        <w:tc>
          <w:tcPr>
            <w:tcW w:w="0" w:type="dxa"/>
            <w:vAlign w:val="bottom"/>
          </w:tcPr>
          <w:p>
            <w:pPr>
              <w:spacing w:after="0"/>
              <w:rPr>
                <w:sz w:val="1"/>
                <w:szCs w:val="1"/>
                <w:color w:val="auto"/>
              </w:rPr>
            </w:pPr>
          </w:p>
        </w:tc>
      </w:tr>
      <w:tr>
        <w:trPr>
          <w:trHeight w:val="183"/>
        </w:trPr>
        <w:tc>
          <w:tcPr>
            <w:tcW w:w="1140" w:type="dxa"/>
            <w:vAlign w:val="bottom"/>
            <w:gridSpan w:val="2"/>
          </w:tcPr>
          <w:p>
            <w:pPr>
              <w:ind w:left="60"/>
              <w:spacing w:after="0" w:line="183" w:lineRule="exact"/>
              <w:rPr>
                <w:sz w:val="20"/>
                <w:szCs w:val="20"/>
                <w:color w:val="auto"/>
              </w:rPr>
            </w:pPr>
            <w:r>
              <w:rPr>
                <w:rFonts w:ascii="Times New Roman" w:cs="Times New Roman" w:eastAsia="Times New Roman" w:hAnsi="Times New Roman"/>
                <w:sz w:val="18"/>
                <w:szCs w:val="18"/>
                <w:color w:val="auto"/>
              </w:rPr>
              <w:t>4.16</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29"/>
          </w:tcPr>
          <w:p>
            <w:pPr>
              <w:spacing w:after="0" w:line="183" w:lineRule="exact"/>
              <w:rPr>
                <w:sz w:val="20"/>
                <w:szCs w:val="20"/>
                <w:color w:val="auto"/>
              </w:rPr>
            </w:pPr>
            <w:r>
              <w:rPr>
                <w:rFonts w:ascii="Times New Roman" w:cs="Times New Roman" w:eastAsia="Times New Roman" w:hAnsi="Times New Roman"/>
                <w:sz w:val="18"/>
                <w:szCs w:val="18"/>
                <w:color w:val="auto"/>
                <w:w w:val="99"/>
              </w:rPr>
              <w:t>Indenture, dated as of January 10, 2008, among James River Group Holdings, Ltd. and Wilmington Trust Company, as Trustee relating</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to Fixed/Floating Rate Junior Subordinated Deferrable Interest Debentures Due 2038+</w:t>
            </w:r>
          </w:p>
        </w:tc>
        <w:tc>
          <w:tcPr>
            <w:tcW w:w="0" w:type="dxa"/>
            <w:vAlign w:val="bottom"/>
          </w:tcPr>
          <w:p>
            <w:pPr>
              <w:spacing w:after="0"/>
              <w:rPr>
                <w:sz w:val="1"/>
                <w:szCs w:val="1"/>
                <w:color w:val="auto"/>
              </w:rPr>
            </w:pPr>
          </w:p>
        </w:tc>
      </w:tr>
      <w:tr>
        <w:trPr>
          <w:trHeight w:val="183"/>
        </w:trPr>
        <w:tc>
          <w:tcPr>
            <w:tcW w:w="1140" w:type="dxa"/>
            <w:vAlign w:val="bottom"/>
            <w:gridSpan w:val="2"/>
          </w:tcPr>
          <w:p>
            <w:pPr>
              <w:ind w:left="60"/>
              <w:spacing w:after="0" w:line="183" w:lineRule="exact"/>
              <w:rPr>
                <w:sz w:val="20"/>
                <w:szCs w:val="20"/>
                <w:color w:val="auto"/>
              </w:rPr>
            </w:pPr>
            <w:r>
              <w:rPr>
                <w:rFonts w:ascii="Times New Roman" w:cs="Times New Roman" w:eastAsia="Times New Roman" w:hAnsi="Times New Roman"/>
                <w:sz w:val="18"/>
                <w:szCs w:val="18"/>
                <w:color w:val="auto"/>
              </w:rPr>
              <w:t>4.17</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29"/>
          </w:tcPr>
          <w:p>
            <w:pPr>
              <w:spacing w:after="0" w:line="183" w:lineRule="exact"/>
              <w:rPr>
                <w:sz w:val="20"/>
                <w:szCs w:val="20"/>
                <w:color w:val="auto"/>
              </w:rPr>
            </w:pPr>
            <w:r>
              <w:rPr>
                <w:rFonts w:ascii="Times New Roman" w:cs="Times New Roman" w:eastAsia="Times New Roman" w:hAnsi="Times New Roman"/>
                <w:sz w:val="18"/>
                <w:szCs w:val="18"/>
                <w:color w:val="auto"/>
              </w:rPr>
              <w:t>Amended and Restated Declaration of Trust, dated as of January 10, 2008, by and among James River Group Holdings, Ltd., as</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29"/>
          </w:tcPr>
          <w:p>
            <w:pPr>
              <w:spacing w:after="0" w:line="175" w:lineRule="exact"/>
              <w:rPr>
                <w:sz w:val="20"/>
                <w:szCs w:val="20"/>
                <w:color w:val="auto"/>
              </w:rPr>
            </w:pPr>
            <w:r>
              <w:rPr>
                <w:rFonts w:ascii="Times New Roman" w:cs="Times New Roman" w:eastAsia="Times New Roman" w:hAnsi="Times New Roman"/>
                <w:sz w:val="18"/>
                <w:szCs w:val="18"/>
                <w:color w:val="auto"/>
                <w:w w:val="99"/>
              </w:rPr>
              <w:t>Sponsor, Wilmington Trust Company, as Institutional Trustee and Delaware Trustee and the Administrators (as defined therein) for the</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benefit of the holders, from time to time, of undivided beneficial interest in Franklin Holdings II (Bermuda) Capital Trust I+</w:t>
            </w:r>
          </w:p>
        </w:tc>
        <w:tc>
          <w:tcPr>
            <w:tcW w:w="0" w:type="dxa"/>
            <w:vAlign w:val="bottom"/>
          </w:tcPr>
          <w:p>
            <w:pPr>
              <w:spacing w:after="0"/>
              <w:rPr>
                <w:sz w:val="1"/>
                <w:szCs w:val="1"/>
                <w:color w:val="auto"/>
              </w:rPr>
            </w:pPr>
          </w:p>
        </w:tc>
      </w:tr>
      <w:tr>
        <w:trPr>
          <w:trHeight w:val="183"/>
        </w:trPr>
        <w:tc>
          <w:tcPr>
            <w:tcW w:w="1140" w:type="dxa"/>
            <w:vAlign w:val="bottom"/>
            <w:gridSpan w:val="2"/>
          </w:tcPr>
          <w:p>
            <w:pPr>
              <w:ind w:left="60"/>
              <w:spacing w:after="0" w:line="183" w:lineRule="exact"/>
              <w:rPr>
                <w:sz w:val="20"/>
                <w:szCs w:val="20"/>
                <w:color w:val="auto"/>
              </w:rPr>
            </w:pPr>
            <w:r>
              <w:rPr>
                <w:rFonts w:ascii="Times New Roman" w:cs="Times New Roman" w:eastAsia="Times New Roman" w:hAnsi="Times New Roman"/>
                <w:sz w:val="18"/>
                <w:szCs w:val="18"/>
                <w:color w:val="auto"/>
              </w:rPr>
              <w:t>4.18</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29"/>
          </w:tcPr>
          <w:p>
            <w:pPr>
              <w:spacing w:after="0" w:line="183" w:lineRule="exact"/>
              <w:rPr>
                <w:sz w:val="20"/>
                <w:szCs w:val="20"/>
                <w:color w:val="auto"/>
              </w:rPr>
            </w:pPr>
            <w:r>
              <w:rPr>
                <w:rFonts w:ascii="Times New Roman" w:cs="Times New Roman" w:eastAsia="Times New Roman" w:hAnsi="Times New Roman"/>
                <w:sz w:val="18"/>
                <w:szCs w:val="18"/>
                <w:color w:val="auto"/>
              </w:rPr>
              <w:t>Guarantee Agreement, dated as of January 10, 2008, by and among James River Group Holdings, Ltd., as Guarantor, and Wilmington</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29"/>
          </w:tcPr>
          <w:p>
            <w:pPr>
              <w:spacing w:after="0" w:line="175" w:lineRule="exact"/>
              <w:rPr>
                <w:sz w:val="20"/>
                <w:szCs w:val="20"/>
                <w:color w:val="auto"/>
              </w:rPr>
            </w:pPr>
            <w:r>
              <w:rPr>
                <w:rFonts w:ascii="Times New Roman" w:cs="Times New Roman" w:eastAsia="Times New Roman" w:hAnsi="Times New Roman"/>
                <w:sz w:val="18"/>
                <w:szCs w:val="18"/>
                <w:color w:val="auto"/>
                <w:w w:val="99"/>
              </w:rPr>
              <w:t>Trust Company, as Guarantee Trustee, for the benefit of the holders, from time to time, of the capital securities of Franklin Holdings II</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(Bermuda) Capital Trust I+</w:t>
            </w:r>
          </w:p>
        </w:tc>
        <w:tc>
          <w:tcPr>
            <w:tcW w:w="0" w:type="dxa"/>
            <w:vAlign w:val="bottom"/>
          </w:tcPr>
          <w:p>
            <w:pPr>
              <w:spacing w:after="0"/>
              <w:rPr>
                <w:sz w:val="1"/>
                <w:szCs w:val="1"/>
                <w:color w:val="auto"/>
              </w:rPr>
            </w:pPr>
          </w:p>
        </w:tc>
      </w:tr>
      <w:tr>
        <w:trPr>
          <w:trHeight w:val="196"/>
        </w:trPr>
        <w:tc>
          <w:tcPr>
            <w:tcW w:w="11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gridSpan w:val="29"/>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Description of Registrant’s Securities Registered under Section 12 of the Securities Exchange Act of 1934 (incorporated by reference</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to Exhibit 4.18 to the Annual Report on Form 10-K filed on February 28, 2023, Commission File No. 001-36777)</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Third Amended and Restated Credit Agreement, dated as of July 7, 2023, by and among James River Group Holdings, Ltd., JRG</w:t>
              </w:r>
            </w:hyperlink>
          </w:p>
        </w:tc>
        <w:tc>
          <w:tcPr>
            <w:tcW w:w="460" w:type="dxa"/>
            <w:vAlign w:val="bottom"/>
            <w:gridSpan w:val="15"/>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gridSpan w:val="29"/>
          </w:tcPr>
          <w:p>
            <w:pPr>
              <w:spacing w:after="0" w:line="154"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Reinsurance Company, Ltd., KeyBank National Association, as Administrative Agent and Letter of Credit Issuer, KeyBank National</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Association and Truist Securities, Inc. as Joint Book Runners and Joint Lead Arrangers, Truist Bank as Syndication Agent, and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60" w:type="dxa"/>
            <w:vAlign w:val="bottom"/>
            <w:tcBorders>
              <w:top w:val="single" w:sz="8" w:color="0000FF"/>
            </w:tcBorders>
            <w:gridSpan w:val="16"/>
          </w:tcPr>
          <w:p>
            <w:pPr>
              <w:spacing w:after="0" w:line="168"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lender parties thereto (incorporated by reference to Exhibit 10.1 of the Current Report on Form 8-K filed on July 12, 2023,</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Commission File No. 001-36777)</w:t>
              </w:r>
            </w:hyperlink>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29"/>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First Amendment dated April 16, 2024 to the Third Amended and Restated Credit Agreement dated as of July 7, 2023 by and among</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James River Group Holdings, Ltd. and JRG Reinsurance Company Ltd., as borrowers, KeyBank National Association (“KeyBank”)</w:t>
              </w:r>
            </w:hyperlink>
          </w:p>
        </w:tc>
        <w:tc>
          <w:tcPr>
            <w:tcW w:w="180" w:type="dxa"/>
            <w:vAlign w:val="bottom"/>
            <w:gridSpan w:val="8"/>
          </w:tcPr>
          <w:p>
            <w:pPr>
              <w:spacing w:after="0" w:line="154"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as</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Administrative Agent and Letter of Credit Issuer, KeyBank and Truist Securities, Inc. as Joint Book Runners and Joint Lead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80" w:type="dxa"/>
            <w:vAlign w:val="bottom"/>
            <w:tcBorders>
              <w:top w:val="single" w:sz="8" w:color="0000FF"/>
            </w:tcBorders>
            <w:gridSpan w:val="9"/>
          </w:tcPr>
          <w:p>
            <w:pPr>
              <w:spacing w:after="0" w:line="168" w:lineRule="exact"/>
              <w:rPr>
                <w:rFonts w:ascii="Times New Roman" w:cs="Times New Roman" w:eastAsia="Times New Roman" w:hAnsi="Times New Roman"/>
                <w:sz w:val="18"/>
                <w:szCs w:val="18"/>
                <w:color w:val="0000FF"/>
                <w:w w:val="98"/>
              </w:rPr>
            </w:pPr>
            <w:hyperlink r:id="rId133">
              <w:r>
                <w:rPr>
                  <w:rFonts w:ascii="Times New Roman" w:cs="Times New Roman" w:eastAsia="Times New Roman" w:hAnsi="Times New Roman"/>
                  <w:sz w:val="18"/>
                  <w:szCs w:val="18"/>
                  <w:color w:val="0000FF"/>
                  <w:w w:val="98"/>
                </w:rPr>
                <w:t>Arrangers, Truist Bank as Syndication Agent, and the lender parties thereto (incorporated by reference to Exhibit 10.1 of the</w:t>
              </w:r>
            </w:hyperlink>
          </w:p>
        </w:tc>
        <w:tc>
          <w:tcPr>
            <w:tcW w:w="40" w:type="dxa"/>
            <w:vAlign w:val="bottom"/>
          </w:tcPr>
          <w:p>
            <w:pPr>
              <w:spacing w:after="0"/>
              <w:rPr>
                <w:sz w:val="14"/>
                <w:szCs w:val="14"/>
                <w:color w:val="auto"/>
              </w:rPr>
            </w:pPr>
          </w:p>
        </w:tc>
        <w:tc>
          <w:tcPr>
            <w:tcW w:w="800" w:type="dxa"/>
            <w:vAlign w:val="bottom"/>
            <w:gridSpan w:val="19"/>
          </w:tcPr>
          <w:p>
            <w:pPr>
              <w:ind w:left="20"/>
              <w:spacing w:after="0" w:line="168"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Current</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 xml:space="preserve">Report on Form 8-K filed on April 22, 2024, Commission File No. 001-36777) </w:t>
              </w:r>
              <w:r>
                <w:rPr>
                  <w:rFonts w:ascii="Times New Roman" w:cs="Times New Roman" w:eastAsia="Times New Roman" w:hAnsi="Times New Roman"/>
                  <w:sz w:val="17"/>
                  <w:szCs w:val="17"/>
                  <w:color w:val="000000"/>
                </w:rPr>
                <w:t>+</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10.3</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29"/>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Second Amendment dated May 22, 2024 to the Third Amended and Restated Credit Agreement dated as of July 7, 2023 by and among</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James River Group Holdings, Ltd. and JRG Reinsurance Company Ltd., as borrowers, KeyBank National Association (“KeyBank”) as</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Administrative Agent and Letter of Credit Issuer, KeyBank and Truist Securities, Inc. as Joint Book Runners and Joint Lead</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80" w:type="dxa"/>
            <w:vAlign w:val="bottom"/>
            <w:tcBorders>
              <w:top w:val="single" w:sz="8" w:color="0000FF"/>
            </w:tcBorders>
            <w:gridSpan w:val="9"/>
          </w:tcPr>
          <w:p>
            <w:pPr>
              <w:spacing w:after="0" w:line="168" w:lineRule="exact"/>
              <w:rPr>
                <w:rFonts w:ascii="Times New Roman" w:cs="Times New Roman" w:eastAsia="Times New Roman" w:hAnsi="Times New Roman"/>
                <w:sz w:val="18"/>
                <w:szCs w:val="18"/>
                <w:color w:val="0000FF"/>
                <w:w w:val="98"/>
              </w:rPr>
            </w:pPr>
            <w:hyperlink r:id="rId134">
              <w:r>
                <w:rPr>
                  <w:rFonts w:ascii="Times New Roman" w:cs="Times New Roman" w:eastAsia="Times New Roman" w:hAnsi="Times New Roman"/>
                  <w:sz w:val="18"/>
                  <w:szCs w:val="18"/>
                  <w:color w:val="0000FF"/>
                  <w:w w:val="98"/>
                </w:rPr>
                <w:t>Arrangers, Truist Bank as Syndication Agent, and the lender parties thereto (incorporated by reference to Exhibit 10.3 to the</w:t>
              </w:r>
            </w:hyperlink>
          </w:p>
        </w:tc>
        <w:tc>
          <w:tcPr>
            <w:tcW w:w="40" w:type="dxa"/>
            <w:vAlign w:val="bottom"/>
          </w:tcPr>
          <w:p>
            <w:pPr>
              <w:spacing w:after="0"/>
              <w:rPr>
                <w:sz w:val="14"/>
                <w:szCs w:val="14"/>
                <w:color w:val="auto"/>
              </w:rPr>
            </w:pPr>
          </w:p>
        </w:tc>
        <w:tc>
          <w:tcPr>
            <w:tcW w:w="800" w:type="dxa"/>
            <w:vAlign w:val="bottom"/>
            <w:gridSpan w:val="19"/>
          </w:tcPr>
          <w:p>
            <w:pPr>
              <w:ind w:left="20"/>
              <w:spacing w:after="0" w:line="168"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Quarterly</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Report on Form 10-Q filed on August 6, 2024; Commission File No. 001-36777)</w:t>
              </w:r>
            </w:hyperlink>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0" w:type="dxa"/>
            <w:vAlign w:val="bottom"/>
            <w:gridSpan w:val="3"/>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29"/>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Continuing Guaranty of Payment, dated as of June 5, 2013, by James River Group, Inc., as Guarantor, pursuant to Credit Agreement,</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dated as of June 5, 2013, among James River Group Holdings, Ltd. and JRG Reinsurance Company Ltd., KeyBank National</w:t>
              </w:r>
            </w:hyperlink>
          </w:p>
        </w:tc>
        <w:tc>
          <w:tcPr>
            <w:tcW w:w="20" w:type="dxa"/>
            <w:vAlign w:val="bottom"/>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Association, as Administrative Agent and as Letter of Credit Issuer, and certain Lender parties (incorporated by reference to</w:t>
              </w:r>
            </w:hyperlink>
          </w:p>
        </w:tc>
        <w:tc>
          <w:tcPr>
            <w:tcW w:w="800" w:type="dxa"/>
            <w:vAlign w:val="bottom"/>
            <w:gridSpan w:val="19"/>
          </w:tcPr>
          <w:p>
            <w:pPr>
              <w:spacing w:after="0" w:line="15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Exhibit</w:t>
              </w:r>
            </w:hyperlink>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40" w:type="dxa"/>
            <w:vAlign w:val="bottom"/>
            <w:tcBorders>
              <w:top w:val="single" w:sz="8" w:color="0000FF"/>
              <w:bottom w:val="single" w:sz="8" w:color="0000FF"/>
            </w:tcBorders>
            <w:gridSpan w:val="13"/>
          </w:tcPr>
          <w:p>
            <w:pPr>
              <w:spacing w:after="0" w:line="168"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of the Registration Statement on Form S-1, Registration No. 333-199958, filed with the Commission on November 7, 2014)</w:t>
              </w:r>
            </w:hyperlink>
          </w:p>
        </w:tc>
        <w:tc>
          <w:tcPr>
            <w:tcW w:w="220" w:type="dxa"/>
            <w:vAlign w:val="bottom"/>
            <w:tcBorders>
              <w:top w:val="single" w:sz="8" w:color="0000FF"/>
            </w:tcBorders>
            <w:gridSpan w:val="5"/>
          </w:tcPr>
          <w:p>
            <w:pPr>
              <w:spacing w:after="0"/>
              <w:rPr>
                <w:sz w:val="14"/>
                <w:szCs w:val="14"/>
                <w:color w:val="auto"/>
              </w:rPr>
            </w:pPr>
          </w:p>
        </w:tc>
        <w:tc>
          <w:tcPr>
            <w:tcW w:w="120" w:type="dxa"/>
            <w:vAlign w:val="bottom"/>
            <w:gridSpan w:val="5"/>
          </w:tcPr>
          <w:p>
            <w:pPr>
              <w:spacing w:after="0"/>
              <w:rPr>
                <w:sz w:val="14"/>
                <w:szCs w:val="14"/>
                <w:color w:val="auto"/>
              </w:rPr>
            </w:pPr>
          </w:p>
        </w:tc>
        <w:tc>
          <w:tcPr>
            <w:tcW w:w="1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29"/>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Continuing Guaranty of Payment, dated as of December 15, 2015, by James River Group Holdings UK Limited, pursuant to Credit</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bottom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Agreement, dated as of June 5, 2013, among James River Group Holdings, Ltd. and JRG Reinsurance Company Ltd., KeyBank</w:t>
              </w:r>
            </w:hyperlink>
          </w:p>
        </w:tc>
        <w:tc>
          <w:tcPr>
            <w:tcW w:w="240" w:type="dxa"/>
            <w:vAlign w:val="bottom"/>
            <w:tcBorders>
              <w:top w:val="single" w:sz="8" w:color="0000FF"/>
            </w:tcBorders>
            <w:gridSpan w:val="6"/>
          </w:tcPr>
          <w:p>
            <w:pPr>
              <w:spacing w:after="0"/>
              <w:rPr>
                <w:sz w:val="13"/>
                <w:szCs w:val="13"/>
                <w:color w:val="auto"/>
              </w:rPr>
            </w:pPr>
          </w:p>
        </w:tc>
        <w:tc>
          <w:tcPr>
            <w:tcW w:w="200" w:type="dxa"/>
            <w:vAlign w:val="bottom"/>
            <w:gridSpan w:val="6"/>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gridSpan w:val="29"/>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National Association, as Administrative Agent and as Letter of Credit Issuer, and certain Lender parties (incorporated by reference to</w:t>
              </w:r>
            </w:hyperlink>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top w:val="single" w:sz="8" w:color="0000FF"/>
            </w:tcBorders>
            <w:gridSpan w:val="23"/>
          </w:tcPr>
          <w:p>
            <w:pPr>
              <w:spacing w:after="0" w:line="168"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Exhibit 10.5 to the Annual Report on Form 10-K filed on March 10, 2016, Commission File No. 001-36777)</w:t>
              </w:r>
            </w:hyperlink>
          </w:p>
        </w:tc>
        <w:tc>
          <w:tcPr>
            <w:tcW w:w="1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780" w:type="dxa"/>
            <w:vAlign w:val="bottom"/>
            <w:gridSpan w:val="4"/>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10.6</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29"/>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Director and Officer Indemnification Agreement (incorporated by reference to Exhibit 10.7 of Amendment No. 1 to the</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Registration Statement on Form S-1, Registration No. 333-199958, filed with the Commission on November 24, 2014)</w:t>
              </w:r>
            </w:hyperlink>
          </w:p>
        </w:tc>
        <w:tc>
          <w:tcPr>
            <w:tcW w:w="660" w:type="dxa"/>
            <w:vAlign w:val="bottom"/>
            <w:tcBorders>
              <w:top w:val="single" w:sz="8" w:color="0000FF"/>
            </w:tcBorders>
            <w:gridSpan w:val="5"/>
          </w:tcPr>
          <w:p>
            <w:pPr>
              <w:spacing w:after="0"/>
              <w:rPr>
                <w:sz w:val="13"/>
                <w:szCs w:val="13"/>
                <w:color w:val="auto"/>
              </w:rPr>
            </w:pPr>
          </w:p>
        </w:tc>
        <w:tc>
          <w:tcPr>
            <w:tcW w:w="100" w:type="dxa"/>
            <w:vAlign w:val="bottom"/>
            <w:gridSpan w:val="3"/>
          </w:tcPr>
          <w:p>
            <w:pPr>
              <w:spacing w:after="0"/>
              <w:rPr>
                <w:sz w:val="13"/>
                <w:szCs w:val="13"/>
                <w:color w:val="auto"/>
              </w:rPr>
            </w:pPr>
          </w:p>
        </w:tc>
        <w:tc>
          <w:tcPr>
            <w:tcW w:w="44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29"/>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Amended and Restated James River Group Holdings, Ltd. Equity Incentive Plan (incorporated by reference to Exhibit 10.8 of the</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Registration Statement on Form S-1, Registration No. 333-199958, filed with the Commission on November 7, 2014)</w:t>
              </w:r>
              <w:r>
                <w:rPr>
                  <w:rFonts w:ascii="Times New Roman" w:cs="Times New Roman" w:eastAsia="Times New Roman" w:hAnsi="Times New Roman"/>
                  <w:sz w:val="17"/>
                  <w:szCs w:val="17"/>
                  <w:color w:val="000000"/>
                </w:rPr>
                <w:t>*</w:t>
              </w:r>
            </w:hyperlink>
          </w:p>
        </w:tc>
        <w:tc>
          <w:tcPr>
            <w:tcW w:w="44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988"/>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tcBorders>
              <w:top w:val="single" w:sz="8" w:color="0000FF"/>
            </w:tcBorders>
            <w:gridSpan w:val="2"/>
          </w:tcPr>
          <w:p>
            <w:pPr>
              <w:ind w:left="396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top w:val="single" w:sz="8" w:color="0000FF"/>
            </w:tcBorders>
          </w:tcPr>
          <w:p>
            <w:pPr>
              <w:spacing w:after="0"/>
              <w:rPr>
                <w:sz w:val="24"/>
                <w:szCs w:val="24"/>
                <w:color w:val="auto"/>
              </w:rPr>
            </w:pPr>
          </w:p>
        </w:tc>
        <w:tc>
          <w:tcPr>
            <w:tcW w:w="19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3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720" w:type="dxa"/>
            <w:vAlign w:val="bottom"/>
            <w:gridSpan w:val="4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720" w:type="dxa"/>
            <w:vAlign w:val="bottom"/>
            <w:gridSpan w:val="4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10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3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700" w:type="dxa"/>
            <w:vAlign w:val="bottom"/>
            <w:tcBorders>
              <w:top w:val="single" w:sz="8" w:color="auto"/>
            </w:tcBorders>
            <w:gridSpan w:val="44"/>
          </w:tcPr>
          <w:p>
            <w:pPr>
              <w:spacing w:after="0" w:line="18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Stock Option Agreement (Amended and Restated James River Group Holdings, Ltd. Equity Incentive Plan) (incorporated by</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39"/>
          </w:tcPr>
          <w:p>
            <w:pPr>
              <w:spacing w:after="0" w:line="15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reference to Exhibit 10.9 of the Registration Statement on Form S-1, Registration No. 333-199958, filed with the Commission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November 7, 2014)</w:t>
              </w:r>
              <w:r>
                <w:rPr>
                  <w:rFonts w:ascii="Times New Roman" w:cs="Times New Roman" w:eastAsia="Times New Roman" w:hAnsi="Times New Roman"/>
                  <w:sz w:val="17"/>
                  <w:szCs w:val="17"/>
                  <w:color w:val="000000"/>
                </w:rPr>
                <w: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45"/>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First Amendment to the Amended and Restated James River Group Holdings, Ltd. Equity Incentive Plan (incorporated by reference to</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42"/>
          </w:tcPr>
          <w:p>
            <w:pPr>
              <w:spacing w:after="0" w:line="154"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Exhibit 10.10 of Amendment No. 1 to the Registration Statement on Form S-1, Registration No. 333-199958, filed with the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Commission on November 24, 2014)</w:t>
              </w:r>
              <w:r>
                <w:rPr>
                  <w:rFonts w:ascii="Times New Roman" w:cs="Times New Roman" w:eastAsia="Times New Roman" w:hAnsi="Times New Roman"/>
                  <w:sz w:val="17"/>
                  <w:szCs w:val="17"/>
                  <w:color w:val="000000"/>
                </w:rPr>
                <w:t>*</w:t>
              </w:r>
            </w:hyperlink>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10.10</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45"/>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James River Group Holdings, Ltd. 2014 Long-Term Incentive Plan (incorporated by reference to Exhibit 10.11 of Amendment No. 1</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37"/>
          </w:tcPr>
          <w:p>
            <w:pPr>
              <w:spacing w:after="0" w:line="154"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to the Registration Statement on Form S-1, Registration No. 333-199958, filed with the Commission on November 24, 2014)</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10.11</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45"/>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Amendment to the James River Group Holdings, Ltd. 2014 Long-Term Incentive Plan (incorporated by reference to Exhibit 10.1 of</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30"/>
          </w:tcPr>
          <w:p>
            <w:pPr>
              <w:spacing w:after="0" w:line="154"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the Current Report on Form 8-K filed on May 3, 2017, Commission File No. 001-36777)</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10.12</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45"/>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Second Amendment to the James River Group Holdings, Ltd. 2014 Long-Term Incentive Plan (incorporated by reference to Exhibit</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the Current Report on Form 8-K filed on October 26, 2022, Commission File No. 001-36777)</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10.13</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45"/>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Third Amendment to the James River Group Holdings, Ltd. 2014 Long-Term Incentive Plan (incorporated by reference to Exhibit</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the Current Report on Form 8-K filed on October 25, 2024; Commission File No. 001-36777)</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10.14</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45"/>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Nonqualified Share Option Agreement (James River Group Holdings, Ltd. 2014 Long-Term Incentive Plan) (incorporated by</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40"/>
          </w:tcPr>
          <w:p>
            <w:pPr>
              <w:spacing w:after="0" w:line="154"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reference to Exhibit 10.12 of Amendment No. 1 to the Registration Statement on Form S-1, Registration No. 333-199958, filed with</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34"/>
          </w:tcPr>
          <w:p>
            <w:pPr>
              <w:spacing w:after="0" w:line="154"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the Commission on November 24, 2014)</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Form of Restricted Share Award Agreement (James River Group Holdings, Ltd. 2014 Long-Term Incentive Plan) (incorporated by</w:t>
              </w:r>
            </w:hyperlink>
          </w:p>
        </w:tc>
        <w:tc>
          <w:tcPr>
            <w:tcW w:w="34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gridSpan w:val="45"/>
          </w:tcPr>
          <w:p>
            <w:pPr>
              <w:spacing w:after="0" w:line="154"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reference to Exhibit 10.13 of Amendment No. 1 to the Registration Statement on Form S-1, Registration No. 333-199958, filed with</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34"/>
          </w:tcPr>
          <w:p>
            <w:pPr>
              <w:spacing w:after="0" w:line="154"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the Commission on November 24, 2014)</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10.16</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45"/>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Restricted Share Unit Award Agreement (James River Group Holdings, Ltd. 2014 Long-Term Incentive Plan) (incorporated</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36"/>
          </w:tcPr>
          <w:p>
            <w:pPr>
              <w:spacing w:after="0" w:line="154"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by reference to Exhibit 10.14 of Amendment No. 3 to the Registration Statement on Form S-1, Registration No. 333-199958, filed</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28"/>
          </w:tcPr>
          <w:p>
            <w:pPr>
              <w:spacing w:after="0" w:line="154"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with the Commission on December 9, 2014)</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10.17</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45"/>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Performance Restricted Share Unit Agreement (James River Group Holdings, Ltd. 2014 Long-Term Incentive Plan)</w:t>
              </w:r>
            </w:hyperlink>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6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(incorporated by reference to Exhibit 10.21 to the Annual Report on Form 10-K filed on February 28, 2023, Commission File</w:t>
              </w:r>
            </w:hyperlink>
          </w:p>
        </w:tc>
        <w:tc>
          <w:tcPr>
            <w:tcW w:w="760" w:type="dxa"/>
            <w:vAlign w:val="bottom"/>
            <w:gridSpan w:val="26"/>
          </w:tcPr>
          <w:p>
            <w:pPr>
              <w:ind w:left="80"/>
              <w:spacing w:after="0" w:line="182"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No.</w:t>
              </w:r>
            </w:hyperlink>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top w:val="single" w:sz="8" w:color="0000FF"/>
            </w:tcBorders>
            <w:gridSpan w:val="2"/>
          </w:tcPr>
          <w:p>
            <w:pPr>
              <w:spacing w:after="0" w:line="182"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001-36777</w:t>
              </w:r>
              <w:r>
                <w:rPr>
                  <w:rFonts w:ascii="Times New Roman" w:cs="Times New Roman" w:eastAsia="Times New Roman" w:hAnsi="Times New Roman"/>
                  <w:sz w:val="18"/>
                  <w:szCs w:val="18"/>
                  <w:color w:val="000000"/>
                </w:rPr>
                <w:t>)*</w:t>
              </w:r>
            </w:hyperlink>
          </w:p>
        </w:tc>
        <w:tc>
          <w:tcPr>
            <w:tcW w:w="10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10.18</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45"/>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Service-Based Restricted Share Unit Agreement (James River Group Holdings, Ltd. 2014 Long-Term Incentive Plan)</w:t>
              </w:r>
            </w:hyperlink>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60" w:type="dxa"/>
            <w:vAlign w:val="bottom"/>
            <w:tcBorders>
              <w:top w:val="single" w:sz="8" w:color="0000FF"/>
            </w:tcBorders>
            <w:gridSpan w:val="21"/>
          </w:tcPr>
          <w:p>
            <w:pPr>
              <w:spacing w:after="0" w:line="182"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(incorporated by reference to Exhibit 10.22 to the Annual Report on Form 10-K filed on February 28, 2023, Commission File</w:t>
              </w:r>
            </w:hyperlink>
          </w:p>
        </w:tc>
        <w:tc>
          <w:tcPr>
            <w:tcW w:w="660" w:type="dxa"/>
            <w:vAlign w:val="bottom"/>
            <w:gridSpan w:val="24"/>
          </w:tcPr>
          <w:p>
            <w:pPr>
              <w:spacing w:after="0" w:line="182"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No.</w:t>
              </w:r>
            </w:hyperlink>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top w:val="single" w:sz="8" w:color="0000FF"/>
            </w:tcBorders>
            <w:gridSpan w:val="2"/>
          </w:tcPr>
          <w:p>
            <w:pPr>
              <w:spacing w:after="0" w:line="182"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001-36777</w:t>
              </w:r>
              <w:r>
                <w:rPr>
                  <w:rFonts w:ascii="Times New Roman" w:cs="Times New Roman" w:eastAsia="Times New Roman" w:hAnsi="Times New Roman"/>
                  <w:sz w:val="18"/>
                  <w:szCs w:val="18"/>
                  <w:color w:val="000000"/>
                </w:rPr>
                <w:t>)*</w:t>
              </w:r>
            </w:hyperlink>
          </w:p>
        </w:tc>
        <w:tc>
          <w:tcPr>
            <w:tcW w:w="10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10.19</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45"/>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James River Group Holdings, Ltd. Short-Term Incentive Plan (incorporated by reference to Exhibit 10.23 to the Annual Report on</w:t>
              </w:r>
            </w:hyperlink>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40" w:type="dxa"/>
            <w:vAlign w:val="bottom"/>
            <w:tcBorders>
              <w:top w:val="single" w:sz="8" w:color="0000FF"/>
            </w:tcBorders>
            <w:gridSpan w:val="27"/>
          </w:tcPr>
          <w:p>
            <w:pPr>
              <w:spacing w:after="0" w:line="182"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10-K filed on February 28, 2023, Commission File No. 001-36777)</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10.20</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45"/>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James River Group Holdings, Ltd. 2014 Non-Employee Director Incentive Plan (incorporated by reference to Exhibit 10.15 of</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Amendment No. 1 to the Registration Statement on Form S-1, Registration No. 333-199958, filed with the Commission on</w:t>
              </w:r>
            </w:hyperlink>
          </w:p>
        </w:tc>
        <w:tc>
          <w:tcPr>
            <w:tcW w:w="14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November 24, 2014)</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80" w:type="dxa"/>
            <w:vAlign w:val="bottom"/>
            <w:gridSpan w:val="3"/>
          </w:tcPr>
          <w:p>
            <w:pPr>
              <w:spacing w:after="0"/>
              <w:rPr>
                <w:sz w:val="13"/>
                <w:szCs w:val="13"/>
                <w:color w:val="auto"/>
              </w:rPr>
            </w:pPr>
          </w:p>
        </w:tc>
        <w:tc>
          <w:tcPr>
            <w:tcW w:w="160" w:type="dxa"/>
            <w:vAlign w:val="bottom"/>
            <w:gridSpan w:val="6"/>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10.21</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45"/>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Amendment to the 2014 Non-Employee Director Incentive Plan (incorporated by reference to Exhibit 10.1 of the Current Report on</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32"/>
          </w:tcPr>
          <w:p>
            <w:pPr>
              <w:spacing w:after="0" w:line="154"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Form 8-K filed on May 1, 2019, Commission File No. 001-36777)</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Borders>
              <w:right w:val="single" w:sz="8" w:color="0000FF"/>
            </w:tcBorders>
            <w:gridSpan w:val="4"/>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10.22</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45"/>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Second Amendment to the James River Group Holdings, Ltd. 2014 Non-Employee Director Incentive Plan (incorporated by reference</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41"/>
          </w:tcPr>
          <w:p>
            <w:pPr>
              <w:spacing w:after="0" w:line="154"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to Exhibit 10.2 of the Current Report on Form 8-K filed on October 25, 2024; Commission File No. 001-36777)</w:t>
              </w:r>
              <w:r>
                <w:rPr>
                  <w:rFonts w:ascii="Times New Roman" w:cs="Times New Roman" w:eastAsia="Times New Roman" w:hAnsi="Times New Roman"/>
                  <w:sz w:val="17"/>
                  <w:szCs w:val="17"/>
                  <w:color w:val="000000"/>
                </w:rPr>
                <w:t>*</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10.23</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45"/>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Restricted Share Award Agreement (James River Group Holdings, Ltd. 2014 Non-Employee Director Incentive Plan)</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(incorporated by reference to Exhibit 10.16 of Amendment No. 1 to the Registration Statement on Form S-1, Registration No.</w:t>
              </w:r>
            </w:hyperlink>
          </w:p>
        </w:tc>
        <w:tc>
          <w:tcPr>
            <w:tcW w:w="440" w:type="dxa"/>
            <w:vAlign w:val="bottom"/>
            <w:gridSpan w:val="13"/>
          </w:tcPr>
          <w:p>
            <w:pPr>
              <w:ind w:left="20"/>
              <w:spacing w:after="0" w:line="154"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333-</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29"/>
          </w:tcPr>
          <w:p>
            <w:pPr>
              <w:spacing w:after="0" w:line="154"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199958, filed with the Commission on November 24, 2014)</w:t>
              </w:r>
              <w:r>
                <w:rPr>
                  <w:rFonts w:ascii="Times New Roman" w:cs="Times New Roman" w:eastAsia="Times New Roman" w:hAnsi="Times New Roman"/>
                  <w:sz w:val="17"/>
                  <w:szCs w:val="17"/>
                  <w:color w:val="000000"/>
                </w:rPr>
                <w:t>*</w:t>
              </w:r>
            </w:hyperlink>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Borders>
              <w:right w:val="single" w:sz="8" w:color="0000FF"/>
            </w:tcBorders>
            <w:gridSpan w:val="4"/>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10.24</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45"/>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Restricted Share Unit Award Agreement (James River Group Holdings, Ltd., 2014 Non-Employee Director Incentive Plan)</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33"/>
          </w:tcPr>
          <w:p>
            <w:pPr>
              <w:spacing w:after="0" w:line="154"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(incorporated by reference to Exhibit 10.17 of Amendment No. 3 to the Registration Statement on Form S-1, Registration No. 333-</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29"/>
          </w:tcPr>
          <w:p>
            <w:pPr>
              <w:spacing w:after="0" w:line="154"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199958, filed with the Commission on December 9, 2014)</w:t>
              </w:r>
              <w:r>
                <w:rPr>
                  <w:rFonts w:ascii="Times New Roman" w:cs="Times New Roman" w:eastAsia="Times New Roman" w:hAnsi="Times New Roman"/>
                  <w:sz w:val="17"/>
                  <w:szCs w:val="17"/>
                  <w:color w:val="000000"/>
                </w:rPr>
                <w:t>*</w:t>
              </w:r>
            </w:hyperlink>
          </w:p>
        </w:tc>
        <w:tc>
          <w:tcPr>
            <w:tcW w:w="14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Borders>
              <w:right w:val="single" w:sz="8" w:color="0000FF"/>
            </w:tcBorders>
            <w:gridSpan w:val="4"/>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60" w:type="dxa"/>
            <w:vAlign w:val="bottom"/>
            <w:gridSpan w:val="8"/>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45"/>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Retention Award Letter (incorporated by reference to Exhibit 10.1 to the Current Report on Form 8-K filed on July 31, 2024;</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38"/>
          </w:tcPr>
          <w:p>
            <w:pPr>
              <w:spacing w:after="0" w:line="154"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Commission File No. 001-36777)</w:t>
              </w:r>
              <w:r>
                <w:rPr>
                  <w:rFonts w:ascii="Times New Roman" w:cs="Times New Roman" w:eastAsia="Times New Roman" w:hAnsi="Times New Roman"/>
                  <w:sz w:val="17"/>
                  <w:szCs w:val="17"/>
                  <w:color w:val="000000"/>
                </w:rPr>
                <w:t>*</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Borders>
              <w:right w:val="single" w:sz="8" w:color="0000FF"/>
            </w:tcBorders>
            <w:gridSpan w:val="4"/>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340" w:type="dxa"/>
            <w:vAlign w:val="bottom"/>
            <w:gridSpan w:val="9"/>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10.26</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Amended and Restated Employment Agreement, dated as of July 30, 2024, by and between Frank D’Orazio, James River Group</w:t>
              </w:r>
            </w:hyperlink>
          </w:p>
        </w:tc>
        <w:tc>
          <w:tcPr>
            <w:tcW w:w="500" w:type="dxa"/>
            <w:vAlign w:val="bottom"/>
            <w:gridSpan w:val="22"/>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gridSpan w:val="45"/>
          </w:tcPr>
          <w:p>
            <w:pPr>
              <w:spacing w:after="0" w:line="154"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Holdings, Ltd. and James River Group Inc. (incorporated by reference to Exhibit 10.2 to the Current Report on Form 8-K filed with on</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43"/>
          </w:tcPr>
          <w:p>
            <w:pPr>
              <w:spacing w:after="0" w:line="154"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July 31, 2024; Commission File No. 001-36777)</w:t>
              </w:r>
              <w:r>
                <w:rPr>
                  <w:rFonts w:ascii="Times New Roman" w:cs="Times New Roman" w:eastAsia="Times New Roman" w:hAnsi="Times New Roman"/>
                  <w:sz w:val="17"/>
                  <w:szCs w:val="17"/>
                  <w:color w:val="000000"/>
                </w:rPr>
                <w:t>*</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Borders>
              <w:right w:val="single" w:sz="8" w:color="0000FF"/>
            </w:tcBorders>
            <w:gridSpan w:val="4"/>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5340" w:type="dxa"/>
            <w:vAlign w:val="bottom"/>
            <w:gridSpan w:val="9"/>
          </w:tcPr>
          <w:p>
            <w:pPr>
              <w:spacing w:after="0" w:line="20" w:lineRule="exact"/>
              <w:rPr>
                <w:sz w:val="1"/>
                <w:szCs w:val="1"/>
                <w:color w:val="auto"/>
              </w:rPr>
            </w:pPr>
          </w:p>
        </w:tc>
        <w:tc>
          <w:tcPr>
            <w:tcW w:w="700" w:type="dxa"/>
            <w:vAlign w:val="bottom"/>
            <w:gridSpan w:val="18"/>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10.27</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45"/>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Employment Agreement, dated December 19, 2016, by and among James River Group Holdings, Ltd., James River Group, Inc., and</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35"/>
          </w:tcPr>
          <w:p>
            <w:pPr>
              <w:spacing w:after="0" w:line="154"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Sarah C. Doran (incorporated by reference to Exhibit 10.1 to the Current Report on Form 8-K filed on December 22, 2016,</w:t>
              </w:r>
            </w:hyperlink>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Commission File No. 001-36777)</w:t>
              </w:r>
              <w:r>
                <w:rPr>
                  <w:rFonts w:ascii="Times New Roman" w:cs="Times New Roman" w:eastAsia="Times New Roman" w:hAnsi="Times New Roman"/>
                  <w:sz w:val="17"/>
                  <w:szCs w:val="17"/>
                  <w:color w:val="000000"/>
                </w:rPr>
                <w:t>*</w:t>
              </w:r>
            </w:hyperlink>
          </w:p>
        </w:tc>
        <w:tc>
          <w:tcPr>
            <w:tcW w:w="900" w:type="dxa"/>
            <w:vAlign w:val="bottom"/>
            <w:gridSpan w:val="28"/>
          </w:tcPr>
          <w:p>
            <w:pPr>
              <w:spacing w:after="0"/>
              <w:rPr>
                <w:sz w:val="13"/>
                <w:szCs w:val="13"/>
                <w:color w:val="auto"/>
              </w:rPr>
            </w:pPr>
          </w:p>
        </w:tc>
        <w:tc>
          <w:tcPr>
            <w:tcW w:w="0" w:type="dxa"/>
            <w:vAlign w:val="bottom"/>
          </w:tcPr>
          <w:p>
            <w:pPr>
              <w:spacing w:after="0"/>
              <w:rPr>
                <w:sz w:val="1"/>
                <w:szCs w:val="1"/>
                <w:color w:val="auto"/>
              </w:rPr>
            </w:pPr>
          </w:p>
        </w:tc>
      </w:tr>
      <w:tr>
        <w:trPr>
          <w:trHeight w:val="988"/>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Borders>
              <w:top w:val="single" w:sz="8" w:color="0000FF"/>
            </w:tcBorders>
            <w:gridSpan w:val="4"/>
          </w:tcPr>
          <w:p>
            <w:pPr>
              <w:spacing w:after="0"/>
              <w:rPr>
                <w:sz w:val="24"/>
                <w:szCs w:val="24"/>
                <w:color w:val="auto"/>
              </w:rPr>
            </w:pPr>
          </w:p>
        </w:tc>
        <w:tc>
          <w:tcPr>
            <w:tcW w:w="18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780" w:type="dxa"/>
            <w:vAlign w:val="bottom"/>
            <w:gridSpan w:val="39"/>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780" w:type="dxa"/>
            <w:vAlign w:val="bottom"/>
            <w:gridSpan w:val="3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10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10.28</w:t>
            </w:r>
          </w:p>
        </w:tc>
        <w:tc>
          <w:tcPr>
            <w:tcW w:w="3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480" w:type="dxa"/>
            <w:vAlign w:val="bottom"/>
            <w:tcBorders>
              <w:top w:val="single" w:sz="8" w:color="auto"/>
              <w:bottom w:val="single" w:sz="8" w:color="0000FF"/>
            </w:tcBorders>
            <w:gridSpan w:val="24"/>
          </w:tcPr>
          <w:p>
            <w:pPr>
              <w:spacing w:after="0" w:line="189"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Amendment to Employment Agreement dated December 19, 2016, between Sarah C. Doran and James River Group Holdings, Ltd.,</w:t>
              </w:r>
            </w:hyperlink>
          </w:p>
        </w:tc>
        <w:tc>
          <w:tcPr>
            <w:tcW w:w="280" w:type="dxa"/>
            <w:vAlign w:val="bottom"/>
            <w:tcBorders>
              <w:top w:val="single" w:sz="8" w:color="auto"/>
            </w:tcBorders>
            <w:gridSpan w:val="14"/>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39"/>
          </w:tcPr>
          <w:p>
            <w:pPr>
              <w:spacing w:after="0" w:line="154"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and its subsidiary, James River Group, Inc. (incorporated by reference to Exhibit 10.1 to the Quarterly Report on Form 10-Q filed on</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28"/>
          </w:tcPr>
          <w:p>
            <w:pPr>
              <w:spacing w:after="0" w:line="154"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November 8, 2018, Commission File No. 001-36777)</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10.29</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9"/>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Amended and Restated Employment Agreement, dated January 15, 2018, by and among James River Group, Inc., certain subsidiaries</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34"/>
          </w:tcPr>
          <w:p>
            <w:pPr>
              <w:spacing w:after="0" w:line="154"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of James River Group, Inc. and Richard Schmitzer (incorporated by reference to Exhibit 10.22 to Annual Report on Form 10-K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on March 1, 2018, Commission File No. 001-36777)</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10.30</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9"/>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Employment Agreement, dated August 19, 2021, by and between Michael J. Hoffmann and James River Group Holdings, Ltd.</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(incorporated by reference to Exhibit 10.44 to Amendment No. 1 to the Annual Report on Form 10-K filed on April 26, 2024,</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Commission File No. 001-36777)</w:t>
              </w:r>
              <w:r>
                <w:rPr>
                  <w:rFonts w:ascii="Times New Roman" w:cs="Times New Roman" w:eastAsia="Times New Roman" w:hAnsi="Times New Roman"/>
                  <w:sz w:val="17"/>
                  <w:szCs w:val="17"/>
                  <w:color w:val="000000"/>
                </w:rPr>
                <w:t>*</w:t>
              </w:r>
            </w:hyperlink>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10.31</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9"/>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Investment Agreement, dated February 24, 2022, by and between James River Group Holdings, Ltd. and GPC Partners Investments</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bottom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(Thames) LP (incorporated by reference to Exhibit 10.1 on the Current Report on Form 8-K filed on February 28, 2022; Commission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bottom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File No. 001-36777)</w:t>
              </w:r>
            </w:hyperlink>
          </w:p>
        </w:tc>
        <w:tc>
          <w:tcPr>
            <w:tcW w:w="8140" w:type="dxa"/>
            <w:vAlign w:val="bottom"/>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10.32</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Amendment No. 1 to Investment Agreement, dated March 1, 2022, by and between James River Group Holdings, Ltd. and GPC</w:t>
              </w:r>
            </w:hyperlink>
          </w:p>
        </w:tc>
        <w:tc>
          <w:tcPr>
            <w:tcW w:w="600" w:type="dxa"/>
            <w:vAlign w:val="bottom"/>
            <w:gridSpan w:val="23"/>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39"/>
          </w:tcPr>
          <w:p>
            <w:pPr>
              <w:spacing w:after="0" w:line="154"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Partners Investments (Thames) LP (incorporated by reference to Exhibit 10.2 to the Quarterly Report on Form 10-Q filed on May 10,</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2022; Commission File No. 001-36777)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10.33</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9"/>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First Amendment to Investment Agreement, dated November 11, 2024, by and between James River Group Holdings, Ltd. and GPC</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Partners Investments (Thames) LP (incorporated by reference to Exhibit 4.1 of the Current Report on Form 8-K filed on November</w:t>
              </w:r>
            </w:hyperlink>
          </w:p>
        </w:tc>
        <w:tc>
          <w:tcPr>
            <w:tcW w:w="260" w:type="dxa"/>
            <w:vAlign w:val="bottom"/>
            <w:tcBorders>
              <w:bottom w:val="single" w:sz="8" w:color="0000FF"/>
            </w:tcBorders>
            <w:gridSpan w:val="13"/>
          </w:tcPr>
          <w:p>
            <w:pPr>
              <w:jc w:val="right"/>
              <w:ind w:right="80"/>
              <w:spacing w:after="0" w:line="154" w:lineRule="exact"/>
              <w:rPr>
                <w:rFonts w:ascii="Times New Roman" w:cs="Times New Roman" w:eastAsia="Times New Roman" w:hAnsi="Times New Roman"/>
                <w:sz w:val="17"/>
                <w:szCs w:val="17"/>
                <w:color w:val="0000FF"/>
                <w:w w:val="75"/>
              </w:rPr>
            </w:pPr>
            <w:hyperlink r:id="rId168">
              <w:r>
                <w:rPr>
                  <w:rFonts w:ascii="Times New Roman" w:cs="Times New Roman" w:eastAsia="Times New Roman" w:hAnsi="Times New Roman"/>
                  <w:sz w:val="17"/>
                  <w:szCs w:val="17"/>
                  <w:color w:val="0000FF"/>
                  <w:w w:val="75"/>
                </w:rPr>
                <w:t>13,</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37"/>
          </w:tcPr>
          <w:p>
            <w:pPr>
              <w:spacing w:after="0" w:line="154"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2024; Commission File No. 001-36777)</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10.34</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9"/>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Registration Rights Agreement, dated March 1, 2022, by and between James River Group Holdings, Ltd. and GPC Partners</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39"/>
          </w:tcPr>
          <w:p>
            <w:pPr>
              <w:spacing w:after="0" w:line="154"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Investments (Thames) LP (incorporated by reference to Exhibit 10.4 to the Quarterly Report on Form 10-Q filed on May 10, 2022;</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Commission File No. 001-36777)</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10.35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9"/>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First Amendment to the Registration Rights Agreement, dated as of November 11, 2024, by and among James River Group Holdings,</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35"/>
          </w:tcPr>
          <w:p>
            <w:pPr>
              <w:spacing w:after="0" w:line="154"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Ltd. and GPC Partners Investments (Thames) LP (incorporated by reference to Exhibit 10.3 of the Current Report on Form 8-K filed</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on November 13, 2024; Commission File No. 001-36777)</w:t>
              </w:r>
            </w:hyperlink>
          </w:p>
        </w:tc>
        <w:tc>
          <w:tcPr>
            <w:tcW w:w="538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10.36</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9"/>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Loss Portfolio Transfer Reinsurance Agreement dated September 27, 2021 between James River Insurance Company and James River</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36"/>
          </w:tcPr>
          <w:p>
            <w:pPr>
              <w:spacing w:after="0" w:line="154"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Casualty Company and Aleka Insurance, Inc. (incorporated by reference to Exhibit 10.1 on the Current Report on Form 8-K filed on</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September 30, 2021, Commission File No. 001-36777)</w:t>
              </w:r>
            </w:hyperlink>
          </w:p>
        </w:tc>
        <w:tc>
          <w:tcPr>
            <w:tcW w:w="5560" w:type="dxa"/>
            <w:vAlign w:val="bottom"/>
            <w:tcBorders>
              <w:top w:val="single" w:sz="8" w:color="0000FF"/>
            </w:tcBorders>
            <w:gridSpan w:val="18"/>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10.37</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9"/>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Trust Agreement dated September 27, 2021 among James River Insurance Company and James River Casualty Company, Aleka</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Insurance, Inc., and Wells Fargo Bank, N.A. (incorporated by reference to Exhibit 10.2 on the Current Report on Form 8-K filed</w:t>
              </w:r>
            </w:hyperlink>
          </w:p>
        </w:tc>
        <w:tc>
          <w:tcPr>
            <w:tcW w:w="20" w:type="dxa"/>
            <w:vAlign w:val="bottom"/>
          </w:tcPr>
          <w:p>
            <w:pPr>
              <w:spacing w:after="0"/>
              <w:rPr>
                <w:sz w:val="13"/>
                <w:szCs w:val="13"/>
                <w:color w:val="auto"/>
              </w:rPr>
            </w:pPr>
          </w:p>
        </w:tc>
        <w:tc>
          <w:tcPr>
            <w:tcW w:w="560" w:type="dxa"/>
            <w:vAlign w:val="bottom"/>
            <w:gridSpan w:val="21"/>
          </w:tcPr>
          <w:p>
            <w:pPr>
              <w:ind w:left="20"/>
              <w:spacing w:after="0" w:line="154"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on</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September 30, 2021, Commission File No. 001-36777)</w:t>
              </w:r>
            </w:hyperlink>
          </w:p>
        </w:tc>
        <w:tc>
          <w:tcPr>
            <w:tcW w:w="5500" w:type="dxa"/>
            <w:vAlign w:val="bottom"/>
            <w:tcBorders>
              <w:top w:val="single" w:sz="8" w:color="0000FF"/>
            </w:tcBorders>
            <w:gridSpan w:val="15"/>
          </w:tcPr>
          <w:p>
            <w:pPr>
              <w:spacing w:after="0"/>
              <w:rPr>
                <w:sz w:val="13"/>
                <w:szCs w:val="13"/>
                <w:color w:val="auto"/>
              </w:rPr>
            </w:pPr>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10.38</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9"/>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Combined Loss Portfolio Transfer and Adverse Development Cover Reinsurance Contract dated July 2, 2024 between James River</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Insurance Company and James River Casualty Company and State National Insurance Company, Inc. (incorporated by reference to</w:t>
              </w:r>
            </w:hyperlink>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Exhibit 10.1 to the Current Report on Form 8-K filed on July 9, 2024; Commission File No. 001-36777)</w:t>
              </w:r>
              <w:r>
                <w:rPr>
                  <w:rFonts w:ascii="Times New Roman" w:cs="Times New Roman" w:eastAsia="Times New Roman" w:hAnsi="Times New Roman"/>
                  <w:sz w:val="17"/>
                  <w:szCs w:val="17"/>
                  <w:color w:val="000000"/>
                </w:rPr>
                <w:t>+</w:t>
              </w:r>
            </w:hyperlink>
          </w:p>
        </w:tc>
        <w:tc>
          <w:tcPr>
            <w:tcW w:w="18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20" w:type="dxa"/>
            <w:vAlign w:val="bottom"/>
            <w:gridSpan w:val="5"/>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10.39</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9"/>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Subscription Agreement, dated November 11, 2024, by and between James River Group Holdings, Ltd. and Cavello Bay Reinsurance</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33"/>
          </w:tcPr>
          <w:p>
            <w:pPr>
              <w:spacing w:after="0" w:line="154"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Limited (incorporated by reference to Exhibit 10.1 of the Current Report on Form 8-K filed on November 13, 2024; Commission File</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No. 001-36777)</w:t>
              </w:r>
            </w:hyperlink>
          </w:p>
        </w:tc>
        <w:tc>
          <w:tcPr>
            <w:tcW w:w="8500" w:type="dxa"/>
            <w:vAlign w:val="bottom"/>
            <w:tcBorders>
              <w:top w:val="single" w:sz="8" w:color="0000FF"/>
            </w:tcBorders>
            <w:gridSpan w:val="31"/>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10.40</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Registration Rights Agreement, dated December 23, 2024, by and among James River Group Holdings, Ltd. and Cavello Bay</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13"/>
          </w:tcPr>
          <w:p>
            <w:pPr>
              <w:spacing w:after="0" w:line="154" w:lineRule="exact"/>
              <w:rPr>
                <w:sz w:val="20"/>
                <w:szCs w:val="20"/>
                <w:color w:val="auto"/>
              </w:rPr>
            </w:pPr>
            <w:r>
              <w:rPr>
                <w:rFonts w:ascii="Times New Roman" w:cs="Times New Roman" w:eastAsia="Times New Roman" w:hAnsi="Times New Roman"/>
                <w:sz w:val="17"/>
                <w:szCs w:val="17"/>
                <w:color w:val="0000FF"/>
              </w:rPr>
              <w:t>Reinsurance Limited</w:t>
            </w:r>
          </w:p>
        </w:tc>
        <w:tc>
          <w:tcPr>
            <w:tcW w:w="220" w:type="dxa"/>
            <w:vAlign w:val="bottom"/>
            <w:gridSpan w:val="5"/>
          </w:tcPr>
          <w:p>
            <w:pPr>
              <w:spacing w:after="0"/>
              <w:rPr>
                <w:sz w:val="13"/>
                <w:szCs w:val="13"/>
                <w:color w:val="auto"/>
              </w:rPr>
            </w:pPr>
          </w:p>
        </w:tc>
        <w:tc>
          <w:tcPr>
            <w:tcW w:w="360" w:type="dxa"/>
            <w:vAlign w:val="bottom"/>
            <w:gridSpan w:val="11"/>
          </w:tcPr>
          <w:p>
            <w:pPr>
              <w:spacing w:after="0"/>
              <w:rPr>
                <w:sz w:val="13"/>
                <w:szCs w:val="13"/>
                <w:color w:val="auto"/>
              </w:rPr>
            </w:pPr>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140" w:type="dxa"/>
            <w:vAlign w:val="bottom"/>
            <w:gridSpan w:val="8"/>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10.41</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9"/>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Adverse Development Cover Reinsurance Contract, dated November 11, 2024, by and between James River Insurance Company and</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29"/>
          </w:tcPr>
          <w:p>
            <w:pPr>
              <w:spacing w:after="0" w:line="154"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James River Casualty Company, and Cavello Bay Reinsurance Limited (incorporated by reference to Exhibit 10.2 of the Current</w:t>
              </w:r>
            </w:hyperlink>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 xml:space="preserve">Report on Form 8-K filed on November 13, 2024; Commission File No. 001-36777) </w:t>
              </w:r>
              <w:r>
                <w:rPr>
                  <w:rFonts w:ascii="Times New Roman" w:cs="Times New Roman" w:eastAsia="Times New Roman" w:hAnsi="Times New Roman"/>
                  <w:sz w:val="17"/>
                  <w:szCs w:val="17"/>
                  <w:color w:val="000000"/>
                </w:rPr>
                <w:t>+</w:t>
              </w:r>
            </w:hyperlink>
          </w:p>
        </w:tc>
        <w:tc>
          <w:tcPr>
            <w:tcW w:w="560" w:type="dxa"/>
            <w:vAlign w:val="bottom"/>
            <w:gridSpan w:val="21"/>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19.1</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James River Group Holdings, Ltd. Insider Trading Policy</w:t>
            </w:r>
          </w:p>
        </w:tc>
        <w:tc>
          <w:tcPr>
            <w:tcW w:w="3700" w:type="dxa"/>
            <w:vAlign w:val="bottom"/>
            <w:gridSpan w:val="2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gridSpan w:val="8"/>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5"/>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80" w:type="dxa"/>
            <w:vAlign w:val="bottom"/>
            <w:gridSpan w:val="10"/>
          </w:tcPr>
          <w:p>
            <w:pPr>
              <w:ind w:left="3960"/>
              <w:spacing w:after="0"/>
              <w:rPr>
                <w:sz w:val="20"/>
                <w:szCs w:val="20"/>
                <w:color w:val="auto"/>
              </w:rPr>
            </w:pPr>
            <w:r>
              <w:rPr>
                <w:rFonts w:ascii="Times New Roman" w:cs="Times New Roman" w:eastAsia="Times New Roman" w:hAnsi="Times New Roman"/>
                <w:sz w:val="18"/>
                <w:szCs w:val="18"/>
                <w:color w:val="auto"/>
              </w:rPr>
              <w:t>102</w:t>
            </w: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70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700" w:type="dxa"/>
            <w:vAlign w:val="bottom"/>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0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21.1</w:t>
            </w:r>
          </w:p>
        </w:tc>
        <w:tc>
          <w:tcPr>
            <w:tcW w:w="3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700" w:type="dxa"/>
            <w:vAlign w:val="bottom"/>
            <w:tcBorders>
              <w:top w:val="single" w:sz="8" w:color="auto"/>
            </w:tcBorders>
            <w:gridSpan w:val="9"/>
          </w:tcPr>
          <w:p>
            <w:pPr>
              <w:spacing w:after="0" w:line="188" w:lineRule="exact"/>
              <w:rPr>
                <w:sz w:val="20"/>
                <w:szCs w:val="20"/>
                <w:color w:val="auto"/>
              </w:rPr>
            </w:pPr>
            <w:r>
              <w:rPr>
                <w:rFonts w:ascii="Times New Roman" w:cs="Times New Roman" w:eastAsia="Times New Roman" w:hAnsi="Times New Roman"/>
                <w:sz w:val="18"/>
                <w:szCs w:val="18"/>
                <w:color w:val="0000FF"/>
              </w:rPr>
              <w:t>List of subsidiaries of James River Group Holdings, Ltd.</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w:t>
            </w:r>
          </w:p>
        </w:tc>
        <w:tc>
          <w:tcPr>
            <w:tcW w:w="0" w:type="dxa"/>
            <w:vAlign w:val="bottom"/>
          </w:tcPr>
          <w:p>
            <w:pPr>
              <w:spacing w:after="0"/>
              <w:rPr>
                <w:sz w:val="1"/>
                <w:szCs w:val="1"/>
                <w:color w:val="auto"/>
              </w:rPr>
            </w:pPr>
          </w:p>
        </w:tc>
      </w:tr>
      <w:tr>
        <w:trPr>
          <w:trHeight w:val="20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Principal Executive Officer Certification pursuant to Rule 13a-14(a)/15d-14(a)</w:t>
            </w:r>
          </w:p>
        </w:tc>
        <w:tc>
          <w:tcPr>
            <w:tcW w:w="160" w:type="dxa"/>
            <w:vAlign w:val="bottom"/>
            <w:tcBorders>
              <w:top w:val="single" w:sz="8" w:color="0000FF"/>
            </w:tcBorders>
          </w:tcPr>
          <w:p>
            <w:pPr>
              <w:spacing w:after="0"/>
              <w:rPr>
                <w:sz w:val="18"/>
                <w:szCs w:val="18"/>
                <w:color w:val="auto"/>
              </w:rPr>
            </w:pPr>
          </w:p>
        </w:tc>
        <w:tc>
          <w:tcPr>
            <w:tcW w:w="39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Principal Financial Officer Certification pursuant to Rule 13a-14(a)/15d-14(a)</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Principal Executive Officer and Principal Financial Officer Certification pursuant to 18 U.S.C. Section 1350, as adopted pursuant to</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bottom w:val="single" w:sz="8" w:color="0000FF"/>
            </w:tcBorders>
          </w:tcPr>
          <w:p>
            <w:pPr>
              <w:spacing w:after="0" w:line="154" w:lineRule="exact"/>
              <w:rPr>
                <w:sz w:val="20"/>
                <w:szCs w:val="20"/>
                <w:color w:val="auto"/>
              </w:rPr>
            </w:pPr>
            <w:r>
              <w:rPr>
                <w:rFonts w:ascii="Times New Roman" w:cs="Times New Roman" w:eastAsia="Times New Roman" w:hAnsi="Times New Roman"/>
                <w:sz w:val="17"/>
                <w:szCs w:val="17"/>
                <w:color w:val="0000FF"/>
              </w:rPr>
              <w:t>Section 906 of the Sarbanes-Oxley Act of 2002.</w:t>
            </w:r>
          </w:p>
        </w:tc>
        <w:tc>
          <w:tcPr>
            <w:tcW w:w="602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9"/>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James River Group Holdings, Ltd. Executive Officer Incentive Compensation Recovery Policy (incorporated by reference to Exhibit</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97.</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the Annual Report on Form 10-K filed on February 29, 2024; Commission File No. 001-36777)</w:t>
              </w:r>
            </w:hyperlink>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2"/>
                <w:szCs w:val="22"/>
                <w:color w:val="auto"/>
              </w:rPr>
            </w:pPr>
          </w:p>
        </w:tc>
        <w:tc>
          <w:tcPr>
            <w:tcW w:w="74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3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8"/>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8"/>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8"/>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0"/>
                <w:szCs w:val="20"/>
                <w:color w:val="auto"/>
              </w:rPr>
            </w:pPr>
          </w:p>
        </w:tc>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640" w:firstLine="25"/>
        <w:spacing w:after="0" w:line="386" w:lineRule="auto"/>
        <w:tabs>
          <w:tab w:leader="none" w:pos="146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in Exhibit 101. * Denotes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-277495</wp:posOffset>
            </wp:positionV>
            <wp:extent cx="92138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9">
                      <a:extLst>
                        <a:ext uri="{28A0092B-C50C-407E-A947-70E740481C1C}"/>
                      </a:extLst>
                    </a:blip>
                    <a:srcRect/>
                    <a:stretch>
                      <a:fillRect/>
                    </a:stretch>
                  </pic:blipFill>
                  <pic:spPr bwMode="auto">
                    <a:xfrm>
                      <a:off x="0" y="0"/>
                      <a:ext cx="921385" cy="17145"/>
                    </a:xfrm>
                    <a:prstGeom prst="rect">
                      <a:avLst/>
                    </a:prstGeom>
                    <a:noFill/>
                  </pic:spPr>
                </pic:pic>
              </a:graphicData>
            </a:graphic>
          </wp:anchor>
        </w:drawing>
      </w:r>
    </w:p>
    <w:p>
      <w:pPr>
        <w:ind w:left="340" w:right="340" w:hanging="333"/>
        <w:spacing w:after="0" w:line="280" w:lineRule="auto"/>
        <w:tabs>
          <w:tab w:leader="none" w:pos="29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or Schedules to Exhibit not filed with the Securities and Exchange Commission pursuant to Item 601(b)(4)(iii) and Regulation 601(a)(5) of Regulation S-K. The Company will furnish a copy of the omitted Exhibit or Schedules to the SEC upon request.</w:t>
      </w:r>
    </w:p>
    <w:p>
      <w:pPr>
        <w:spacing w:after="0" w:line="5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69" w:lineRule="exact"/>
        <w:rPr>
          <w:sz w:val="20"/>
          <w:szCs w:val="20"/>
          <w:color w:val="auto"/>
        </w:rPr>
      </w:pPr>
    </w:p>
    <w:p>
      <w:pPr>
        <w:ind w:firstLine="363"/>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RIVER GROUP HOLDINGS, LTD.</w:t>
            </w:r>
          </w:p>
        </w:tc>
        <w:tc>
          <w:tcPr>
            <w:tcW w:w="3500" w:type="dxa"/>
            <w:vAlign w:val="bottom"/>
          </w:tcPr>
          <w:p>
            <w:pPr>
              <w:spacing w:after="0"/>
              <w:rPr>
                <w:sz w:val="20"/>
                <w:szCs w:val="20"/>
                <w:color w:val="auto"/>
              </w:rPr>
            </w:pPr>
          </w:p>
        </w:tc>
      </w:tr>
      <w:tr>
        <w:trPr>
          <w:trHeight w:val="25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 Frank N. D’Orazio</w:t>
            </w:r>
          </w:p>
        </w:tc>
        <w:tc>
          <w:tcPr>
            <w:tcW w:w="3500" w:type="dxa"/>
            <w:vAlign w:val="bottom"/>
          </w:tcPr>
          <w:p>
            <w:pPr>
              <w:ind w:left="2440"/>
              <w:spacing w:after="0"/>
              <w:rPr>
                <w:sz w:val="20"/>
                <w:szCs w:val="20"/>
                <w:color w:val="auto"/>
              </w:rPr>
            </w:pPr>
            <w:r>
              <w:rPr>
                <w:rFonts w:ascii="Times New Roman" w:cs="Times New Roman" w:eastAsia="Times New Roman" w:hAnsi="Times New Roman"/>
                <w:sz w:val="18"/>
                <w:szCs w:val="18"/>
                <w:color w:val="auto"/>
                <w:w w:val="98"/>
              </w:rPr>
              <w:t>March 4,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0</wp:posOffset>
            </wp:positionV>
            <wp:extent cx="32334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1">
                      <a:extLst>
                        <a:ext uri="{28A0092B-C50C-407E-A947-70E740481C1C}"/>
                      </a:extLst>
                    </a:blip>
                    <a:srcRect/>
                    <a:stretch>
                      <a:fillRect/>
                    </a:stretch>
                  </pic:blipFill>
                  <pic:spPr bwMode="auto">
                    <a:xfrm>
                      <a:off x="0" y="0"/>
                      <a:ext cx="3233420" cy="8255"/>
                    </a:xfrm>
                    <a:prstGeom prst="rect">
                      <a:avLst/>
                    </a:prstGeom>
                    <a:noFill/>
                  </pic:spPr>
                </pic:pic>
              </a:graphicData>
            </a:graphic>
          </wp:anchor>
        </w:drawing>
      </w:r>
    </w:p>
    <w:p>
      <w:pPr>
        <w:spacing w:after="0" w:line="2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Frank N. D’Orazio</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3" w:lineRule="exact"/>
        <w:rPr>
          <w:sz w:val="20"/>
          <w:szCs w:val="20"/>
          <w:color w:val="auto"/>
        </w:rPr>
      </w:pPr>
    </w:p>
    <w:p>
      <w:pPr>
        <w:ind w:right="320" w:firstLine="363"/>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00" w:type="dxa"/>
            <w:vAlign w:val="bottom"/>
          </w:tcPr>
          <w:p>
            <w:pPr>
              <w:spacing w:after="0"/>
              <w:rPr>
                <w:sz w:val="13"/>
                <w:szCs w:val="13"/>
                <w:color w:val="auto"/>
              </w:rPr>
            </w:pPr>
          </w:p>
        </w:tc>
        <w:tc>
          <w:tcPr>
            <w:tcW w:w="4700" w:type="dxa"/>
            <w:vAlign w:val="bottom"/>
            <w:gridSpan w:val="3"/>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00" w:type="dxa"/>
            <w:vAlign w:val="bottom"/>
            <w:gridSpan w:val="3"/>
          </w:tcPr>
          <w:p>
            <w:pPr>
              <w:jc w:val="center"/>
              <w:ind w:left="752"/>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20"/>
        </w:trPr>
        <w:tc>
          <w:tcPr>
            <w:tcW w:w="1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2"/>
        </w:trPr>
        <w:tc>
          <w:tcPr>
            <w:tcW w:w="3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Frank N. D’Orazio</w:t>
            </w:r>
          </w:p>
        </w:tc>
        <w:tc>
          <w:tcPr>
            <w:tcW w:w="470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900" w:type="dxa"/>
            <w:vAlign w:val="bottom"/>
            <w:gridSpan w:val="3"/>
          </w:tcPr>
          <w:p>
            <w:pPr>
              <w:jc w:val="center"/>
              <w:ind w:left="752"/>
              <w:spacing w:after="0"/>
              <w:rPr>
                <w:sz w:val="20"/>
                <w:szCs w:val="20"/>
                <w:color w:val="auto"/>
              </w:rPr>
            </w:pPr>
            <w:r>
              <w:rPr>
                <w:rFonts w:ascii="Times New Roman" w:cs="Times New Roman" w:eastAsia="Times New Roman" w:hAnsi="Times New Roman"/>
                <w:sz w:val="18"/>
                <w:szCs w:val="18"/>
                <w:color w:val="auto"/>
              </w:rPr>
              <w:t>March 4, 2025</w:t>
            </w:r>
          </w:p>
        </w:tc>
      </w:tr>
      <w:tr>
        <w:trPr>
          <w:trHeight w:val="227"/>
        </w:trPr>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Frank N. D'Orazio</w:t>
            </w:r>
          </w:p>
        </w:tc>
        <w:tc>
          <w:tcPr>
            <w:tcW w:w="470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5"/>
        </w:trPr>
        <w:tc>
          <w:tcPr>
            <w:tcW w:w="3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Sarah C. Doran</w:t>
            </w:r>
          </w:p>
        </w:tc>
        <w:tc>
          <w:tcPr>
            <w:tcW w:w="470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900" w:type="dxa"/>
            <w:vAlign w:val="bottom"/>
            <w:gridSpan w:val="3"/>
          </w:tcPr>
          <w:p>
            <w:pPr>
              <w:jc w:val="center"/>
              <w:ind w:left="752"/>
              <w:spacing w:after="0"/>
              <w:rPr>
                <w:sz w:val="20"/>
                <w:szCs w:val="20"/>
                <w:color w:val="auto"/>
              </w:rPr>
            </w:pPr>
            <w:r>
              <w:rPr>
                <w:rFonts w:ascii="Times New Roman" w:cs="Times New Roman" w:eastAsia="Times New Roman" w:hAnsi="Times New Roman"/>
                <w:sz w:val="18"/>
                <w:szCs w:val="18"/>
                <w:color w:val="auto"/>
              </w:rPr>
              <w:t>March 4, 2025</w:t>
            </w:r>
          </w:p>
        </w:tc>
      </w:tr>
      <w:tr>
        <w:trPr>
          <w:trHeight w:val="227"/>
        </w:trPr>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Sarah C. Doran</w:t>
            </w:r>
          </w:p>
        </w:tc>
        <w:tc>
          <w:tcPr>
            <w:tcW w:w="470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5"/>
        </w:trPr>
        <w:tc>
          <w:tcPr>
            <w:tcW w:w="3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Michael E. Crow</w:t>
            </w:r>
          </w:p>
        </w:tc>
        <w:tc>
          <w:tcPr>
            <w:tcW w:w="470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900" w:type="dxa"/>
            <w:vAlign w:val="bottom"/>
            <w:gridSpan w:val="3"/>
          </w:tcPr>
          <w:p>
            <w:pPr>
              <w:jc w:val="center"/>
              <w:ind w:left="752"/>
              <w:spacing w:after="0"/>
              <w:rPr>
                <w:sz w:val="20"/>
                <w:szCs w:val="20"/>
                <w:color w:val="auto"/>
              </w:rPr>
            </w:pPr>
            <w:r>
              <w:rPr>
                <w:rFonts w:ascii="Times New Roman" w:cs="Times New Roman" w:eastAsia="Times New Roman" w:hAnsi="Times New Roman"/>
                <w:sz w:val="18"/>
                <w:szCs w:val="18"/>
                <w:color w:val="auto"/>
              </w:rPr>
              <w:t>March 4, 2025</w:t>
            </w:r>
          </w:p>
        </w:tc>
      </w:tr>
      <w:tr>
        <w:trPr>
          <w:trHeight w:val="227"/>
        </w:trPr>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Michael E. Crow</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71"/>
        </w:trPr>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70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8"/>
              </w:rPr>
              <w:t>Director, Non-Executive</w:t>
            </w: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2"/>
        </w:trPr>
        <w:tc>
          <w:tcPr>
            <w:tcW w:w="3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Christine LaSala</w:t>
            </w:r>
          </w:p>
        </w:tc>
        <w:tc>
          <w:tcPr>
            <w:tcW w:w="470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9"/>
              </w:rPr>
              <w:t>Chairperson of the Board</w:t>
            </w:r>
          </w:p>
        </w:tc>
        <w:tc>
          <w:tcPr>
            <w:tcW w:w="1900" w:type="dxa"/>
            <w:vAlign w:val="bottom"/>
            <w:gridSpan w:val="3"/>
          </w:tcPr>
          <w:p>
            <w:pPr>
              <w:jc w:val="center"/>
              <w:ind w:left="752"/>
              <w:spacing w:after="0"/>
              <w:rPr>
                <w:sz w:val="20"/>
                <w:szCs w:val="20"/>
                <w:color w:val="auto"/>
              </w:rPr>
            </w:pPr>
            <w:r>
              <w:rPr>
                <w:rFonts w:ascii="Times New Roman" w:cs="Times New Roman" w:eastAsia="Times New Roman" w:hAnsi="Times New Roman"/>
                <w:sz w:val="18"/>
                <w:szCs w:val="18"/>
                <w:color w:val="auto"/>
              </w:rPr>
              <w:t>March 4, 2025</w:t>
            </w:r>
          </w:p>
        </w:tc>
      </w:tr>
      <w:tr>
        <w:trPr>
          <w:trHeight w:val="227"/>
        </w:trPr>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Christine LaSala</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92"/>
        </w:trPr>
        <w:tc>
          <w:tcPr>
            <w:tcW w:w="3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Matthew B. Botein</w:t>
            </w:r>
          </w:p>
        </w:tc>
        <w:tc>
          <w:tcPr>
            <w:tcW w:w="470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752"/>
              <w:spacing w:after="0"/>
              <w:rPr>
                <w:sz w:val="20"/>
                <w:szCs w:val="20"/>
                <w:color w:val="auto"/>
              </w:rPr>
            </w:pPr>
            <w:r>
              <w:rPr>
                <w:rFonts w:ascii="Times New Roman" w:cs="Times New Roman" w:eastAsia="Times New Roman" w:hAnsi="Times New Roman"/>
                <w:sz w:val="18"/>
                <w:szCs w:val="18"/>
                <w:color w:val="auto"/>
              </w:rPr>
              <w:t>March 4, 2025</w:t>
            </w:r>
          </w:p>
        </w:tc>
      </w:tr>
      <w:tr>
        <w:trPr>
          <w:trHeight w:val="227"/>
        </w:trPr>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Matthew B. Botein</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92"/>
        </w:trPr>
        <w:tc>
          <w:tcPr>
            <w:tcW w:w="3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Thomas L. Brown</w:t>
            </w:r>
          </w:p>
        </w:tc>
        <w:tc>
          <w:tcPr>
            <w:tcW w:w="470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752"/>
              <w:spacing w:after="0"/>
              <w:rPr>
                <w:sz w:val="20"/>
                <w:szCs w:val="20"/>
                <w:color w:val="auto"/>
              </w:rPr>
            </w:pPr>
            <w:r>
              <w:rPr>
                <w:rFonts w:ascii="Times New Roman" w:cs="Times New Roman" w:eastAsia="Times New Roman" w:hAnsi="Times New Roman"/>
                <w:sz w:val="18"/>
                <w:szCs w:val="18"/>
                <w:color w:val="auto"/>
              </w:rPr>
              <w:t>March 4, 2025</w:t>
            </w:r>
          </w:p>
        </w:tc>
      </w:tr>
      <w:tr>
        <w:trPr>
          <w:trHeight w:val="227"/>
        </w:trPr>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Thomas L. Brown</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5"/>
        </w:trPr>
        <w:tc>
          <w:tcPr>
            <w:tcW w:w="3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Kirstin M. Gould</w:t>
            </w:r>
          </w:p>
        </w:tc>
        <w:tc>
          <w:tcPr>
            <w:tcW w:w="470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752"/>
              <w:spacing w:after="0"/>
              <w:rPr>
                <w:sz w:val="20"/>
                <w:szCs w:val="20"/>
                <w:color w:val="auto"/>
              </w:rPr>
            </w:pPr>
            <w:r>
              <w:rPr>
                <w:rFonts w:ascii="Times New Roman" w:cs="Times New Roman" w:eastAsia="Times New Roman" w:hAnsi="Times New Roman"/>
                <w:sz w:val="18"/>
                <w:szCs w:val="18"/>
                <w:color w:val="auto"/>
              </w:rPr>
              <w:t>March 4, 2025</w:t>
            </w:r>
          </w:p>
        </w:tc>
      </w:tr>
      <w:tr>
        <w:trPr>
          <w:trHeight w:val="227"/>
        </w:trPr>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Kirstin M. Gould</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5"/>
        </w:trPr>
        <w:tc>
          <w:tcPr>
            <w:tcW w:w="3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Dennis J. Langwell</w:t>
            </w:r>
          </w:p>
        </w:tc>
        <w:tc>
          <w:tcPr>
            <w:tcW w:w="470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752"/>
              <w:spacing w:after="0"/>
              <w:rPr>
                <w:sz w:val="20"/>
                <w:szCs w:val="20"/>
                <w:color w:val="auto"/>
              </w:rPr>
            </w:pPr>
            <w:r>
              <w:rPr>
                <w:rFonts w:ascii="Times New Roman" w:cs="Times New Roman" w:eastAsia="Times New Roman" w:hAnsi="Times New Roman"/>
                <w:sz w:val="18"/>
                <w:szCs w:val="18"/>
                <w:color w:val="auto"/>
              </w:rPr>
              <w:t>March 4, 2025</w:t>
            </w:r>
          </w:p>
        </w:tc>
      </w:tr>
      <w:tr>
        <w:trPr>
          <w:trHeight w:val="227"/>
        </w:trPr>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Dennis J. Langwell</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5"/>
        </w:trPr>
        <w:tc>
          <w:tcPr>
            <w:tcW w:w="3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Peter B. Migliorato</w:t>
            </w:r>
          </w:p>
        </w:tc>
        <w:tc>
          <w:tcPr>
            <w:tcW w:w="470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752"/>
              <w:spacing w:after="0"/>
              <w:rPr>
                <w:sz w:val="20"/>
                <w:szCs w:val="20"/>
                <w:color w:val="auto"/>
              </w:rPr>
            </w:pPr>
            <w:r>
              <w:rPr>
                <w:rFonts w:ascii="Times New Roman" w:cs="Times New Roman" w:eastAsia="Times New Roman" w:hAnsi="Times New Roman"/>
                <w:sz w:val="18"/>
                <w:szCs w:val="18"/>
                <w:color w:val="auto"/>
              </w:rPr>
              <w:t>March 4, 2025</w:t>
            </w:r>
          </w:p>
        </w:tc>
      </w:tr>
      <w:tr>
        <w:trPr>
          <w:trHeight w:val="227"/>
        </w:trPr>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Peter B. Migliorato</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5"/>
        </w:trPr>
        <w:tc>
          <w:tcPr>
            <w:tcW w:w="3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Ollie L. Sherman, Jr.</w:t>
            </w:r>
          </w:p>
        </w:tc>
        <w:tc>
          <w:tcPr>
            <w:tcW w:w="470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752"/>
              <w:spacing w:after="0"/>
              <w:rPr>
                <w:sz w:val="20"/>
                <w:szCs w:val="20"/>
                <w:color w:val="auto"/>
              </w:rPr>
            </w:pPr>
            <w:r>
              <w:rPr>
                <w:rFonts w:ascii="Times New Roman" w:cs="Times New Roman" w:eastAsia="Times New Roman" w:hAnsi="Times New Roman"/>
                <w:sz w:val="18"/>
                <w:szCs w:val="18"/>
                <w:color w:val="auto"/>
              </w:rPr>
              <w:t>March 4, 2025</w:t>
            </w:r>
          </w:p>
        </w:tc>
      </w:tr>
      <w:tr>
        <w:trPr>
          <w:trHeight w:val="227"/>
        </w:trPr>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Ollie L. Sherman, Jr.</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 AND SCHEDULES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4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Page</w:t>
            </w:r>
          </w:p>
        </w:tc>
      </w:tr>
      <w:tr>
        <w:trPr>
          <w:trHeight w:val="182"/>
        </w:trPr>
        <w:tc>
          <w:tcPr>
            <w:tcW w:w="20" w:type="dxa"/>
            <w:vAlign w:val="bottom"/>
            <w:tcBorders>
              <w:top w:val="single" w:sz="8" w:color="CCEEFF"/>
            </w:tcBorders>
            <w:shd w:val="clear" w:color="auto" w:fill="CCEEFF"/>
          </w:tcPr>
          <w:p>
            <w:pPr>
              <w:spacing w:after="0"/>
              <w:rPr>
                <w:sz w:val="15"/>
                <w:szCs w:val="15"/>
                <w:color w:val="auto"/>
              </w:rPr>
            </w:pPr>
          </w:p>
        </w:tc>
        <w:tc>
          <w:tcPr>
            <w:tcW w:w="10380" w:type="dxa"/>
            <w:vAlign w:val="bottom"/>
            <w:tcBorders>
              <w:top w:val="single" w:sz="8" w:color="CCEEFF"/>
            </w:tcBorders>
            <w:gridSpan w:val="2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E32E1"/>
              </w:rPr>
              <w:t>42</w:t>
            </w:r>
            <w:r>
              <w:rPr>
                <w:rFonts w:ascii="Times New Roman" w:cs="Times New Roman" w:eastAsia="Times New Roman" w:hAnsi="Times New Roman"/>
                <w:sz w:val="18"/>
                <w:szCs w:val="18"/>
                <w:u w:val="single" w:color="auto"/>
                <w:color w:val="0000FF"/>
              </w:rPr>
              <w:t>)</w:t>
            </w:r>
          </w:p>
        </w:tc>
        <w:tc>
          <w:tcPr>
            <w:tcW w:w="500" w:type="dxa"/>
            <w:vAlign w:val="bottom"/>
            <w:tcBorders>
              <w:top w:val="single" w:sz="8" w:color="auto"/>
            </w:tcBorders>
            <w:gridSpan w:val="4"/>
            <w:shd w:val="clear" w:color="auto" w:fill="CCEEFF"/>
          </w:tcPr>
          <w:p>
            <w:pPr>
              <w:jc w:val="center"/>
              <w:ind w:left="210"/>
              <w:spacing w:after="0" w:line="182" w:lineRule="exact"/>
              <w:rPr>
                <w:sz w:val="20"/>
                <w:szCs w:val="20"/>
                <w:color w:val="auto"/>
              </w:rPr>
            </w:pPr>
            <w:r>
              <w:rPr>
                <w:rFonts w:ascii="Times New Roman" w:cs="Times New Roman" w:eastAsia="Times New Roman" w:hAnsi="Times New Roman"/>
                <w:sz w:val="18"/>
                <w:szCs w:val="18"/>
                <w:color w:val="0000FF"/>
                <w:w w:val="88"/>
              </w:rPr>
              <w:t>2</w:t>
            </w:r>
          </w:p>
        </w:tc>
        <w:tc>
          <w:tcPr>
            <w:tcW w:w="30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E32E1"/>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03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on Internal Control over Financial Reporting</w:t>
            </w:r>
          </w:p>
        </w:tc>
        <w:tc>
          <w:tcPr>
            <w:tcW w:w="500" w:type="dxa"/>
            <w:vAlign w:val="bottom"/>
            <w:gridSpan w:val="4"/>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464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5740" w:type="dxa"/>
            <w:vAlign w:val="bottom"/>
            <w:gridSpan w:val="10"/>
            <w:shd w:val="clear" w:color="auto" w:fill="CCEEFF"/>
          </w:tcPr>
          <w:p>
            <w:pPr>
              <w:spacing w:after="0"/>
              <w:rPr>
                <w:sz w:val="16"/>
                <w:szCs w:val="16"/>
                <w:color w:val="auto"/>
              </w:rPr>
            </w:pPr>
          </w:p>
        </w:tc>
        <w:tc>
          <w:tcPr>
            <w:tcW w:w="500" w:type="dxa"/>
            <w:vAlign w:val="bottom"/>
            <w:gridSpan w:val="4"/>
            <w:shd w:val="clear" w:color="auto" w:fill="CCEEFF"/>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3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03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(Loss) Income and Comprehensive Loss for the Years Ended</w:t>
            </w:r>
          </w:p>
        </w:tc>
        <w:tc>
          <w:tcPr>
            <w:tcW w:w="500" w:type="dxa"/>
            <w:vAlign w:val="bottom"/>
            <w:gridSpan w:val="4"/>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88"/>
              </w:rPr>
              <w:t>7</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6380" w:type="dxa"/>
            <w:vAlign w:val="bottom"/>
            <w:tcBorders>
              <w:top w:val="single" w:sz="8" w:color="0000FF"/>
            </w:tcBorders>
            <w:gridSpan w:val="19"/>
          </w:tcPr>
          <w:p>
            <w:pPr>
              <w:ind w:left="320"/>
              <w:spacing w:after="0" w:line="154" w:lineRule="exact"/>
              <w:rPr>
                <w:sz w:val="20"/>
                <w:szCs w:val="20"/>
                <w:color w:val="auto"/>
              </w:rPr>
            </w:pPr>
            <w:r>
              <w:rPr>
                <w:rFonts w:ascii="Times New Roman" w:cs="Times New Roman" w:eastAsia="Times New Roman" w:hAnsi="Times New Roman"/>
                <w:sz w:val="17"/>
                <w:szCs w:val="17"/>
                <w:color w:val="0000FF"/>
              </w:rPr>
              <w:t>December 31, 2024, 2023 and 2022</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8"/>
        </w:trPr>
        <w:tc>
          <w:tcPr>
            <w:tcW w:w="20" w:type="dxa"/>
            <w:vAlign w:val="bottom"/>
            <w:shd w:val="clear" w:color="auto" w:fill="CCEEFF"/>
          </w:tcPr>
          <w:p>
            <w:pPr>
              <w:spacing w:after="0"/>
              <w:rPr>
                <w:sz w:val="16"/>
                <w:szCs w:val="16"/>
                <w:color w:val="auto"/>
              </w:rPr>
            </w:pPr>
          </w:p>
        </w:tc>
        <w:tc>
          <w:tcPr>
            <w:tcW w:w="103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Changes in Shareholders’ Equity for the Years Ended</w:t>
            </w:r>
          </w:p>
        </w:tc>
        <w:tc>
          <w:tcPr>
            <w:tcW w:w="500" w:type="dxa"/>
            <w:vAlign w:val="bottom"/>
            <w:gridSpan w:val="4"/>
            <w:shd w:val="clear" w:color="auto" w:fill="CCEEFF"/>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3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5520" w:type="dxa"/>
            <w:vAlign w:val="bottom"/>
            <w:tcBorders>
              <w:top w:val="single" w:sz="8" w:color="0000FF"/>
            </w:tcBorders>
            <w:gridSpan w:val="17"/>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December 31, 2024, 2023 and 2022</w:t>
            </w:r>
          </w:p>
        </w:tc>
        <w:tc>
          <w:tcPr>
            <w:tcW w:w="1100" w:type="dxa"/>
            <w:vAlign w:val="bottom"/>
            <w:tcBorders>
              <w:top w:val="single" w:sz="8" w:color="CCEEFF"/>
            </w:tcBorders>
            <w:gridSpan w:val="2"/>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160" w:type="dxa"/>
            <w:vAlign w:val="bottom"/>
            <w:tcBorders>
              <w:top w:val="single" w:sz="8" w:color="CCEEFF"/>
            </w:tcBorders>
            <w:gridSpan w:val="2"/>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r>
      <w:tr>
        <w:trPr>
          <w:trHeight w:val="188"/>
        </w:trPr>
        <w:tc>
          <w:tcPr>
            <w:tcW w:w="20" w:type="dxa"/>
            <w:vAlign w:val="bottom"/>
          </w:tcPr>
          <w:p>
            <w:pPr>
              <w:spacing w:after="0"/>
              <w:rPr>
                <w:sz w:val="16"/>
                <w:szCs w:val="16"/>
                <w:color w:val="auto"/>
              </w:rPr>
            </w:pPr>
          </w:p>
        </w:tc>
        <w:tc>
          <w:tcPr>
            <w:tcW w:w="103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500" w:type="dxa"/>
            <w:vAlign w:val="bottom"/>
            <w:gridSpan w:val="4"/>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03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 for the Years Ended December 31, 2024, 2023 and 2022</w:t>
            </w:r>
          </w:p>
        </w:tc>
        <w:tc>
          <w:tcPr>
            <w:tcW w:w="500" w:type="dxa"/>
            <w:vAlign w:val="bottom"/>
            <w:gridSpan w:val="4"/>
            <w:shd w:val="clear" w:color="auto" w:fill="CCEEFF"/>
          </w:tcPr>
          <w:p>
            <w:pPr>
              <w:jc w:val="center"/>
              <w:ind w:left="230"/>
              <w:spacing w:after="0" w:line="189" w:lineRule="exact"/>
              <w:rPr>
                <w:sz w:val="20"/>
                <w:szCs w:val="20"/>
                <w:color w:val="auto"/>
              </w:rPr>
            </w:pPr>
            <w:r>
              <w:rPr>
                <w:rFonts w:ascii="Times New Roman" w:cs="Times New Roman" w:eastAsia="Times New Roman" w:hAnsi="Times New Roman"/>
                <w:sz w:val="18"/>
                <w:szCs w:val="18"/>
                <w:color w:val="0000FF"/>
                <w:w w:val="99"/>
              </w:rPr>
              <w:t>10</w:t>
            </w:r>
          </w:p>
        </w:tc>
        <w:tc>
          <w:tcPr>
            <w:tcW w:w="3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1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Schedule I</w:t>
            </w:r>
          </w:p>
        </w:tc>
        <w:tc>
          <w:tcPr>
            <w:tcW w:w="6020" w:type="dxa"/>
            <w:vAlign w:val="bottom"/>
            <w:gridSpan w:val="14"/>
          </w:tcPr>
          <w:p>
            <w:pPr>
              <w:ind w:left="280"/>
              <w:spacing w:after="0" w:line="189" w:lineRule="exact"/>
              <w:rPr>
                <w:sz w:val="20"/>
                <w:szCs w:val="20"/>
                <w:color w:val="auto"/>
              </w:rPr>
            </w:pPr>
            <w:r>
              <w:rPr>
                <w:rFonts w:ascii="Times New Roman" w:cs="Times New Roman" w:eastAsia="Times New Roman" w:hAnsi="Times New Roman"/>
                <w:sz w:val="18"/>
                <w:szCs w:val="18"/>
                <w:color w:val="0000FF"/>
              </w:rPr>
              <w:t>Summary of Investments</w:t>
            </w:r>
          </w:p>
        </w:tc>
        <w:tc>
          <w:tcPr>
            <w:tcW w:w="3180" w:type="dxa"/>
            <w:vAlign w:val="bottom"/>
            <w:gridSpan w:val="3"/>
          </w:tcPr>
          <w:p>
            <w:pPr>
              <w:spacing w:after="0"/>
              <w:rPr>
                <w:sz w:val="16"/>
                <w:szCs w:val="16"/>
                <w:color w:val="auto"/>
              </w:rPr>
            </w:pPr>
          </w:p>
        </w:tc>
        <w:tc>
          <w:tcPr>
            <w:tcW w:w="500" w:type="dxa"/>
            <w:vAlign w:val="bottom"/>
            <w:gridSpan w:val="4"/>
          </w:tcPr>
          <w:p>
            <w:pPr>
              <w:jc w:val="center"/>
              <w:ind w:left="230"/>
              <w:spacing w:after="0" w:line="189" w:lineRule="exact"/>
              <w:rPr>
                <w:sz w:val="20"/>
                <w:szCs w:val="20"/>
                <w:color w:val="auto"/>
              </w:rPr>
            </w:pPr>
            <w:r>
              <w:rPr>
                <w:rFonts w:ascii="Times New Roman" w:cs="Times New Roman" w:eastAsia="Times New Roman" w:hAnsi="Times New Roman"/>
                <w:sz w:val="18"/>
                <w:szCs w:val="18"/>
                <w:color w:val="0000FF"/>
                <w:w w:val="99"/>
              </w:rPr>
              <w:t>61</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1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Schedule II</w:t>
            </w:r>
          </w:p>
        </w:tc>
        <w:tc>
          <w:tcPr>
            <w:tcW w:w="9200" w:type="dxa"/>
            <w:vAlign w:val="bottom"/>
            <w:gridSpan w:val="17"/>
            <w:shd w:val="clear" w:color="auto" w:fill="CCEEFF"/>
          </w:tcPr>
          <w:p>
            <w:pPr>
              <w:ind w:left="280"/>
              <w:spacing w:after="0" w:line="189" w:lineRule="exact"/>
              <w:rPr>
                <w:sz w:val="20"/>
                <w:szCs w:val="20"/>
                <w:color w:val="auto"/>
              </w:rPr>
            </w:pPr>
            <w:r>
              <w:rPr>
                <w:rFonts w:ascii="Times New Roman" w:cs="Times New Roman" w:eastAsia="Times New Roman" w:hAnsi="Times New Roman"/>
                <w:sz w:val="18"/>
                <w:szCs w:val="18"/>
                <w:color w:val="0000FF"/>
              </w:rPr>
              <w:t>Condensed Financial Information of Registrant</w:t>
            </w:r>
          </w:p>
        </w:tc>
        <w:tc>
          <w:tcPr>
            <w:tcW w:w="500" w:type="dxa"/>
            <w:vAlign w:val="bottom"/>
            <w:gridSpan w:val="4"/>
            <w:shd w:val="clear" w:color="auto" w:fill="CCEEFF"/>
          </w:tcPr>
          <w:p>
            <w:pPr>
              <w:jc w:val="center"/>
              <w:ind w:left="230"/>
              <w:spacing w:after="0" w:line="189" w:lineRule="exact"/>
              <w:rPr>
                <w:sz w:val="20"/>
                <w:szCs w:val="20"/>
                <w:color w:val="auto"/>
              </w:rPr>
            </w:pPr>
            <w:r>
              <w:rPr>
                <w:rFonts w:ascii="Times New Roman" w:cs="Times New Roman" w:eastAsia="Times New Roman" w:hAnsi="Times New Roman"/>
                <w:sz w:val="18"/>
                <w:szCs w:val="18"/>
                <w:color w:val="0000FF"/>
                <w:w w:val="99"/>
              </w:rPr>
              <w:t>62</w:t>
            </w:r>
          </w:p>
        </w:tc>
        <w:tc>
          <w:tcPr>
            <w:tcW w:w="3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1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Schedule III</w:t>
            </w:r>
          </w:p>
        </w:tc>
        <w:tc>
          <w:tcPr>
            <w:tcW w:w="9200" w:type="dxa"/>
            <w:vAlign w:val="bottom"/>
            <w:gridSpan w:val="17"/>
          </w:tcPr>
          <w:p>
            <w:pPr>
              <w:ind w:left="280"/>
              <w:spacing w:after="0" w:line="189" w:lineRule="exact"/>
              <w:rPr>
                <w:sz w:val="20"/>
                <w:szCs w:val="20"/>
                <w:color w:val="auto"/>
              </w:rPr>
            </w:pPr>
            <w:r>
              <w:rPr>
                <w:rFonts w:ascii="Times New Roman" w:cs="Times New Roman" w:eastAsia="Times New Roman" w:hAnsi="Times New Roman"/>
                <w:sz w:val="18"/>
                <w:szCs w:val="18"/>
                <w:color w:val="0000FF"/>
              </w:rPr>
              <w:t>Supplementary Insurance Information</w:t>
            </w:r>
          </w:p>
        </w:tc>
        <w:tc>
          <w:tcPr>
            <w:tcW w:w="500" w:type="dxa"/>
            <w:vAlign w:val="bottom"/>
            <w:gridSpan w:val="4"/>
          </w:tcPr>
          <w:p>
            <w:pPr>
              <w:jc w:val="center"/>
              <w:ind w:left="230"/>
              <w:spacing w:after="0" w:line="189" w:lineRule="exact"/>
              <w:rPr>
                <w:sz w:val="20"/>
                <w:szCs w:val="20"/>
                <w:color w:val="auto"/>
              </w:rPr>
            </w:pPr>
            <w:r>
              <w:rPr>
                <w:rFonts w:ascii="Times New Roman" w:cs="Times New Roman" w:eastAsia="Times New Roman" w:hAnsi="Times New Roman"/>
                <w:sz w:val="18"/>
                <w:szCs w:val="18"/>
                <w:color w:val="0000FF"/>
                <w:w w:val="99"/>
              </w:rPr>
              <w:t>66</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9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Schedule IV</w:t>
            </w:r>
          </w:p>
        </w:tc>
        <w:tc>
          <w:tcPr>
            <w:tcW w:w="280" w:type="dxa"/>
            <w:vAlign w:val="bottom"/>
            <w:shd w:val="clear" w:color="auto" w:fill="CCEEFF"/>
          </w:tcPr>
          <w:p>
            <w:pPr>
              <w:spacing w:after="0"/>
              <w:rPr>
                <w:sz w:val="16"/>
                <w:szCs w:val="16"/>
                <w:color w:val="auto"/>
              </w:rPr>
            </w:pPr>
          </w:p>
        </w:tc>
        <w:tc>
          <w:tcPr>
            <w:tcW w:w="9200" w:type="dxa"/>
            <w:vAlign w:val="bottom"/>
            <w:gridSpan w:val="17"/>
            <w:shd w:val="clear" w:color="auto" w:fill="CCEEFF"/>
          </w:tcPr>
          <w:p>
            <w:pPr>
              <w:ind w:left="280"/>
              <w:spacing w:after="0" w:line="189" w:lineRule="exact"/>
              <w:rPr>
                <w:sz w:val="20"/>
                <w:szCs w:val="20"/>
                <w:color w:val="auto"/>
              </w:rPr>
            </w:pPr>
            <w:r>
              <w:rPr>
                <w:rFonts w:ascii="Times New Roman" w:cs="Times New Roman" w:eastAsia="Times New Roman" w:hAnsi="Times New Roman"/>
                <w:sz w:val="18"/>
                <w:szCs w:val="18"/>
                <w:color w:val="0000FF"/>
              </w:rPr>
              <w:t>Reinsurance</w:t>
            </w:r>
          </w:p>
        </w:tc>
        <w:tc>
          <w:tcPr>
            <w:tcW w:w="500" w:type="dxa"/>
            <w:vAlign w:val="bottom"/>
            <w:gridSpan w:val="4"/>
            <w:shd w:val="clear" w:color="auto" w:fill="CCEEFF"/>
          </w:tcPr>
          <w:p>
            <w:pPr>
              <w:jc w:val="center"/>
              <w:ind w:left="230"/>
              <w:spacing w:after="0" w:line="189" w:lineRule="exact"/>
              <w:rPr>
                <w:sz w:val="20"/>
                <w:szCs w:val="20"/>
                <w:color w:val="auto"/>
              </w:rPr>
            </w:pPr>
            <w:r>
              <w:rPr>
                <w:rFonts w:ascii="Times New Roman" w:cs="Times New Roman" w:eastAsia="Times New Roman" w:hAnsi="Times New Roman"/>
                <w:sz w:val="18"/>
                <w:szCs w:val="18"/>
                <w:color w:val="0000FF"/>
                <w:w w:val="99"/>
              </w:rPr>
              <w:t>67</w:t>
            </w:r>
          </w:p>
        </w:tc>
        <w:tc>
          <w:tcPr>
            <w:tcW w:w="3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9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Schedule V</w:t>
            </w:r>
          </w:p>
        </w:tc>
        <w:tc>
          <w:tcPr>
            <w:tcW w:w="280" w:type="dxa"/>
            <w:vAlign w:val="bottom"/>
          </w:tcPr>
          <w:p>
            <w:pPr>
              <w:spacing w:after="0"/>
              <w:rPr>
                <w:sz w:val="16"/>
                <w:szCs w:val="16"/>
                <w:color w:val="auto"/>
              </w:rPr>
            </w:pPr>
          </w:p>
        </w:tc>
        <w:tc>
          <w:tcPr>
            <w:tcW w:w="9200" w:type="dxa"/>
            <w:vAlign w:val="bottom"/>
            <w:gridSpan w:val="17"/>
          </w:tcPr>
          <w:p>
            <w:pPr>
              <w:ind w:left="280"/>
              <w:spacing w:after="0" w:line="189" w:lineRule="exact"/>
              <w:rPr>
                <w:sz w:val="20"/>
                <w:szCs w:val="20"/>
                <w:color w:val="auto"/>
              </w:rPr>
            </w:pPr>
            <w:r>
              <w:rPr>
                <w:rFonts w:ascii="Times New Roman" w:cs="Times New Roman" w:eastAsia="Times New Roman" w:hAnsi="Times New Roman"/>
                <w:sz w:val="18"/>
                <w:szCs w:val="18"/>
                <w:color w:val="0000FF"/>
              </w:rPr>
              <w:t>Valuation and Qualifying Accounts</w:t>
            </w:r>
          </w:p>
        </w:tc>
        <w:tc>
          <w:tcPr>
            <w:tcW w:w="500" w:type="dxa"/>
            <w:vAlign w:val="bottom"/>
            <w:gridSpan w:val="4"/>
          </w:tcPr>
          <w:p>
            <w:pPr>
              <w:jc w:val="center"/>
              <w:ind w:left="230"/>
              <w:spacing w:after="0" w:line="189" w:lineRule="exact"/>
              <w:rPr>
                <w:sz w:val="20"/>
                <w:szCs w:val="20"/>
                <w:color w:val="auto"/>
              </w:rPr>
            </w:pPr>
            <w:r>
              <w:rPr>
                <w:rFonts w:ascii="Times New Roman" w:cs="Times New Roman" w:eastAsia="Times New Roman" w:hAnsi="Times New Roman"/>
                <w:sz w:val="18"/>
                <w:szCs w:val="18"/>
                <w:color w:val="0000FF"/>
                <w:w w:val="99"/>
              </w:rPr>
              <w:t>68</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9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Schedule VI</w:t>
            </w:r>
          </w:p>
        </w:tc>
        <w:tc>
          <w:tcPr>
            <w:tcW w:w="280" w:type="dxa"/>
            <w:vAlign w:val="bottom"/>
            <w:shd w:val="clear" w:color="auto" w:fill="CCEEFF"/>
          </w:tcPr>
          <w:p>
            <w:pPr>
              <w:spacing w:after="0"/>
              <w:rPr>
                <w:sz w:val="18"/>
                <w:szCs w:val="18"/>
                <w:color w:val="auto"/>
              </w:rPr>
            </w:pPr>
          </w:p>
        </w:tc>
        <w:tc>
          <w:tcPr>
            <w:tcW w:w="9200" w:type="dxa"/>
            <w:vAlign w:val="bottom"/>
            <w:gridSpan w:val="17"/>
            <w:shd w:val="clear" w:color="auto" w:fill="CCEEFF"/>
          </w:tcPr>
          <w:p>
            <w:pPr>
              <w:ind w:left="280"/>
              <w:spacing w:after="0" w:line="189" w:lineRule="exact"/>
              <w:rPr>
                <w:sz w:val="20"/>
                <w:szCs w:val="20"/>
                <w:color w:val="auto"/>
              </w:rPr>
            </w:pPr>
            <w:r>
              <w:rPr>
                <w:rFonts w:ascii="Times New Roman" w:cs="Times New Roman" w:eastAsia="Times New Roman" w:hAnsi="Times New Roman"/>
                <w:sz w:val="18"/>
                <w:szCs w:val="18"/>
                <w:color w:val="0000FF"/>
              </w:rPr>
              <w:t>Supplementary Information Concerning Property Casualty Insurance Operations</w:t>
            </w:r>
          </w:p>
        </w:tc>
        <w:tc>
          <w:tcPr>
            <w:tcW w:w="500" w:type="dxa"/>
            <w:vAlign w:val="bottom"/>
            <w:gridSpan w:val="4"/>
            <w:shd w:val="clear" w:color="auto" w:fill="CCEEFF"/>
          </w:tcPr>
          <w:p>
            <w:pPr>
              <w:jc w:val="center"/>
              <w:ind w:left="230"/>
              <w:spacing w:after="0" w:line="189" w:lineRule="exact"/>
              <w:rPr>
                <w:sz w:val="20"/>
                <w:szCs w:val="20"/>
                <w:color w:val="auto"/>
              </w:rPr>
            </w:pPr>
            <w:r>
              <w:rPr>
                <w:rFonts w:ascii="Times New Roman" w:cs="Times New Roman" w:eastAsia="Times New Roman" w:hAnsi="Times New Roman"/>
                <w:sz w:val="18"/>
                <w:szCs w:val="18"/>
                <w:color w:val="0000FF"/>
                <w:w w:val="99"/>
              </w:rPr>
              <w:t>69</w:t>
            </w:r>
          </w:p>
        </w:tc>
        <w:tc>
          <w:tcPr>
            <w:tcW w:w="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089"/>
        </w:trPr>
        <w:tc>
          <w:tcPr>
            <w:tcW w:w="2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0" w:type="dxa"/>
            <w:vAlign w:val="bottom"/>
            <w:tcBorders>
              <w:top w:val="single" w:sz="8" w:color="0000FF"/>
            </w:tcBorders>
            <w:gridSpan w:val="5"/>
          </w:tcPr>
          <w:p>
            <w:pPr>
              <w:ind w:left="60"/>
              <w:spacing w:after="0"/>
              <w:rPr>
                <w:sz w:val="20"/>
                <w:szCs w:val="20"/>
                <w:color w:val="auto"/>
              </w:rPr>
            </w:pPr>
            <w:r>
              <w:rPr>
                <w:rFonts w:ascii="Times New Roman" w:cs="Times New Roman" w:eastAsia="Times New Roman" w:hAnsi="Times New Roman"/>
                <w:sz w:val="18"/>
                <w:szCs w:val="18"/>
                <w:color w:val="auto"/>
              </w:rPr>
              <w:t>F-1</w:t>
            </w:r>
          </w:p>
        </w:tc>
        <w:tc>
          <w:tcPr>
            <w:tcW w:w="3160" w:type="dxa"/>
            <w:vAlign w:val="bottom"/>
            <w:tcBorders>
              <w:top w:val="single" w:sz="8" w:color="CCEEFF"/>
            </w:tcBorders>
            <w:gridSpan w:val="2"/>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James River Group Holdings,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31" w:lineRule="exact"/>
        <w:rPr>
          <w:sz w:val="20"/>
          <w:szCs w:val="20"/>
          <w:color w:val="auto"/>
        </w:rPr>
      </w:pPr>
    </w:p>
    <w:p>
      <w:pPr>
        <w:ind w:right="60" w:firstLine="323"/>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James River Group Holdings, Ltd. and subsidiaries (the Company) as of December 31, 2024 and 2023, the related consolidated statements of (loss) income and comprehensive loss, changes in shareholders' equity and cash flows for each of the three years in the period ended December 31, 2024, and the related notes and financial statement schedules listed in the Index at Item 15(a)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12" w:lineRule="exact"/>
        <w:rPr>
          <w:sz w:val="20"/>
          <w:szCs w:val="20"/>
          <w:color w:val="auto"/>
        </w:rPr>
      </w:pPr>
    </w:p>
    <w:p>
      <w:pPr>
        <w:ind w:right="100" w:firstLine="323"/>
        <w:spacing w:after="0" w:line="259"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March 4, 2025,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4" w:lineRule="exact"/>
        <w:rPr>
          <w:sz w:val="20"/>
          <w:szCs w:val="20"/>
          <w:color w:val="auto"/>
        </w:rPr>
      </w:pPr>
    </w:p>
    <w:p>
      <w:pPr>
        <w:jc w:val="both"/>
        <w:ind w:firstLine="323"/>
        <w:spacing w:after="0" w:line="28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ind w:firstLine="323"/>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87" w:lineRule="exact"/>
        <w:rPr>
          <w:sz w:val="20"/>
          <w:szCs w:val="20"/>
          <w:color w:val="auto"/>
        </w:rPr>
      </w:pPr>
    </w:p>
    <w:p>
      <w:pPr>
        <w:ind w:right="300" w:firstLine="323"/>
        <w:spacing w:after="0" w:line="260"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ind w:right="200" w:firstLine="7"/>
        <w:spacing w:after="0" w:line="253" w:lineRule="auto"/>
        <w:tabs>
          <w:tab w:leader="none" w:pos="2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16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Valuation of reserves for losses and loss adjustment expenses</w:t>
            </w:r>
          </w:p>
        </w:tc>
        <w:tc>
          <w:tcPr>
            <w:tcW w:w="0" w:type="dxa"/>
            <w:vAlign w:val="bottom"/>
          </w:tcPr>
          <w:p>
            <w:pPr>
              <w:spacing w:after="0"/>
              <w:rPr>
                <w:sz w:val="1"/>
                <w:szCs w:val="1"/>
                <w:color w:val="auto"/>
              </w:rPr>
            </w:pPr>
          </w:p>
        </w:tc>
      </w:tr>
      <w:tr>
        <w:trPr>
          <w:trHeight w:val="180"/>
        </w:trPr>
        <w:tc>
          <w:tcPr>
            <w:tcW w:w="1600" w:type="dxa"/>
            <w:vAlign w:val="bottom"/>
            <w:vMerge w:val="continue"/>
          </w:tcPr>
          <w:p>
            <w:pPr>
              <w:spacing w:after="0"/>
              <w:rPr>
                <w:sz w:val="15"/>
                <w:szCs w:val="15"/>
                <w:color w:val="auto"/>
              </w:rPr>
            </w:pPr>
          </w:p>
        </w:tc>
        <w:tc>
          <w:tcPr>
            <w:tcW w:w="9560" w:type="dxa"/>
            <w:vAlign w:val="bottom"/>
          </w:tcPr>
          <w:p>
            <w:pPr>
              <w:ind w:left="220"/>
              <w:spacing w:after="0" w:line="180" w:lineRule="exact"/>
              <w:rPr>
                <w:sz w:val="20"/>
                <w:szCs w:val="20"/>
                <w:color w:val="auto"/>
              </w:rPr>
            </w:pPr>
            <w:r>
              <w:rPr>
                <w:rFonts w:ascii="Times New Roman" w:cs="Times New Roman" w:eastAsia="Times New Roman" w:hAnsi="Times New Roman"/>
                <w:sz w:val="18"/>
                <w:szCs w:val="18"/>
                <w:color w:val="auto"/>
                <w:w w:val="99"/>
              </w:rPr>
              <w:t>At December 31, 2024, the Company’s reserve for losses and loss adjustment expenses balance was $3.08 billion. As described in</w:t>
            </w:r>
          </w:p>
        </w:tc>
        <w:tc>
          <w:tcPr>
            <w:tcW w:w="0" w:type="dxa"/>
            <w:vAlign w:val="bottom"/>
          </w:tcPr>
          <w:p>
            <w:pPr>
              <w:spacing w:after="0"/>
              <w:rPr>
                <w:sz w:val="1"/>
                <w:szCs w:val="1"/>
                <w:color w:val="auto"/>
              </w:rPr>
            </w:pPr>
          </w:p>
        </w:tc>
      </w:tr>
      <w:tr>
        <w:trPr>
          <w:trHeight w:val="175"/>
        </w:trPr>
        <w:tc>
          <w:tcPr>
            <w:tcW w:w="1600" w:type="dxa"/>
            <w:vAlign w:val="bottom"/>
          </w:tcPr>
          <w:p>
            <w:pPr>
              <w:spacing w:after="0" w:line="175" w:lineRule="exact"/>
              <w:rPr>
                <w:sz w:val="20"/>
                <w:szCs w:val="20"/>
                <w:color w:val="auto"/>
              </w:rPr>
            </w:pPr>
            <w:r>
              <w:rPr>
                <w:rFonts w:ascii="Times New Roman" w:cs="Times New Roman" w:eastAsia="Times New Roman" w:hAnsi="Times New Roman"/>
                <w:sz w:val="18"/>
                <w:szCs w:val="18"/>
                <w:i w:val="1"/>
                <w:iCs w:val="1"/>
                <w:color w:val="auto"/>
              </w:rPr>
              <w:t>Matter</w:t>
            </w:r>
          </w:p>
        </w:tc>
        <w:tc>
          <w:tcPr>
            <w:tcW w:w="9560" w:type="dxa"/>
            <w:vAlign w:val="bottom"/>
          </w:tcPr>
          <w:p>
            <w:pPr>
              <w:ind w:left="220"/>
              <w:spacing w:after="0" w:line="175" w:lineRule="exact"/>
              <w:rPr>
                <w:sz w:val="20"/>
                <w:szCs w:val="20"/>
                <w:color w:val="auto"/>
              </w:rPr>
            </w:pPr>
            <w:r>
              <w:rPr>
                <w:rFonts w:ascii="Times New Roman" w:cs="Times New Roman" w:eastAsia="Times New Roman" w:hAnsi="Times New Roman"/>
                <w:sz w:val="18"/>
                <w:szCs w:val="18"/>
                <w:color w:val="auto"/>
              </w:rPr>
              <w:t>Notes 1 and 8 of the consolidated financial statements, reserves for losses and loss adjustment expenses reflect the estimated</w:t>
            </w:r>
          </w:p>
        </w:tc>
        <w:tc>
          <w:tcPr>
            <w:tcW w:w="0" w:type="dxa"/>
            <w:vAlign w:val="bottom"/>
          </w:tcPr>
          <w:p>
            <w:pPr>
              <w:spacing w:after="0"/>
              <w:rPr>
                <w:sz w:val="1"/>
                <w:szCs w:val="1"/>
                <w:color w:val="auto"/>
              </w:rPr>
            </w:pPr>
          </w:p>
        </w:tc>
      </w:tr>
      <w:tr>
        <w:trPr>
          <w:trHeight w:val="183"/>
        </w:trPr>
        <w:tc>
          <w:tcPr>
            <w:tcW w:w="1600" w:type="dxa"/>
            <w:vAlign w:val="bottom"/>
          </w:tcPr>
          <w:p>
            <w:pPr>
              <w:spacing w:after="0"/>
              <w:rPr>
                <w:sz w:val="15"/>
                <w:szCs w:val="15"/>
                <w:color w:val="auto"/>
              </w:rPr>
            </w:pPr>
          </w:p>
        </w:tc>
        <w:tc>
          <w:tcPr>
            <w:tcW w:w="9560" w:type="dxa"/>
            <w:vAlign w:val="bottom"/>
          </w:tcPr>
          <w:p>
            <w:pPr>
              <w:ind w:left="220"/>
              <w:spacing w:after="0" w:line="183" w:lineRule="exact"/>
              <w:rPr>
                <w:sz w:val="20"/>
                <w:szCs w:val="20"/>
                <w:color w:val="auto"/>
              </w:rPr>
            </w:pPr>
            <w:r>
              <w:rPr>
                <w:rFonts w:ascii="Times New Roman" w:cs="Times New Roman" w:eastAsia="Times New Roman" w:hAnsi="Times New Roman"/>
                <w:sz w:val="18"/>
                <w:szCs w:val="18"/>
                <w:color w:val="auto"/>
                <w:w w:val="99"/>
              </w:rPr>
              <w:t>ultimate cost of all incurred unpaid claims including estimates of claims incurred but not reported and loss adjustment expenses as</w:t>
            </w: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9560" w:type="dxa"/>
            <w:vAlign w:val="bottom"/>
          </w:tcPr>
          <w:p>
            <w:pPr>
              <w:ind w:left="220"/>
              <w:spacing w:after="0" w:line="180" w:lineRule="exact"/>
              <w:rPr>
                <w:sz w:val="20"/>
                <w:szCs w:val="20"/>
                <w:color w:val="auto"/>
              </w:rPr>
            </w:pPr>
            <w:r>
              <w:rPr>
                <w:rFonts w:ascii="Times New Roman" w:cs="Times New Roman" w:eastAsia="Times New Roman" w:hAnsi="Times New Roman"/>
                <w:sz w:val="18"/>
                <w:szCs w:val="18"/>
                <w:color w:val="auto"/>
              </w:rPr>
              <w:t>of the balance sheet date. The estimate of ultimate losses and loss adjustment expenses relies on key judgments, including the</w:t>
            </w: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9560" w:type="dxa"/>
            <w:vAlign w:val="bottom"/>
          </w:tcPr>
          <w:p>
            <w:pPr>
              <w:ind w:left="220"/>
              <w:spacing w:after="0" w:line="175" w:lineRule="exact"/>
              <w:rPr>
                <w:sz w:val="20"/>
                <w:szCs w:val="20"/>
                <w:color w:val="auto"/>
              </w:rPr>
            </w:pPr>
            <w:r>
              <w:rPr>
                <w:rFonts w:ascii="Times New Roman" w:cs="Times New Roman" w:eastAsia="Times New Roman" w:hAnsi="Times New Roman"/>
                <w:sz w:val="18"/>
                <w:szCs w:val="18"/>
                <w:color w:val="auto"/>
              </w:rPr>
              <w:t>weighting of actuarial methods by line of business and accident year. Actuarial assumptions include initial expected loss ratios,</w:t>
            </w:r>
          </w:p>
        </w:tc>
        <w:tc>
          <w:tcPr>
            <w:tcW w:w="0" w:type="dxa"/>
            <w:vAlign w:val="bottom"/>
          </w:tcPr>
          <w:p>
            <w:pPr>
              <w:spacing w:after="0"/>
              <w:rPr>
                <w:sz w:val="1"/>
                <w:szCs w:val="1"/>
                <w:color w:val="auto"/>
              </w:rPr>
            </w:pPr>
          </w:p>
        </w:tc>
      </w:tr>
      <w:tr>
        <w:trPr>
          <w:trHeight w:val="183"/>
        </w:trPr>
        <w:tc>
          <w:tcPr>
            <w:tcW w:w="1600" w:type="dxa"/>
            <w:vAlign w:val="bottom"/>
          </w:tcPr>
          <w:p>
            <w:pPr>
              <w:spacing w:after="0"/>
              <w:rPr>
                <w:sz w:val="15"/>
                <w:szCs w:val="15"/>
                <w:color w:val="auto"/>
              </w:rPr>
            </w:pPr>
          </w:p>
        </w:tc>
        <w:tc>
          <w:tcPr>
            <w:tcW w:w="9560" w:type="dxa"/>
            <w:vAlign w:val="bottom"/>
          </w:tcPr>
          <w:p>
            <w:pPr>
              <w:ind w:left="220"/>
              <w:spacing w:after="0" w:line="183" w:lineRule="exact"/>
              <w:rPr>
                <w:sz w:val="20"/>
                <w:szCs w:val="20"/>
                <w:color w:val="auto"/>
              </w:rPr>
            </w:pPr>
            <w:r>
              <w:rPr>
                <w:rFonts w:ascii="Times New Roman" w:cs="Times New Roman" w:eastAsia="Times New Roman" w:hAnsi="Times New Roman"/>
                <w:sz w:val="18"/>
                <w:szCs w:val="18"/>
                <w:color w:val="auto"/>
              </w:rPr>
              <w:t>and incurred and paid loss development factors. The Company's Reserve Committee utilizes the actuarial results, in addition to</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information, in determining management's best estimate of recorded reserves.</w:t>
            </w:r>
          </w:p>
        </w:tc>
        <w:tc>
          <w:tcPr>
            <w:tcW w:w="0" w:type="dxa"/>
            <w:vAlign w:val="bottom"/>
          </w:tcPr>
          <w:p>
            <w:pPr>
              <w:spacing w:after="0"/>
              <w:rPr>
                <w:sz w:val="1"/>
                <w:szCs w:val="1"/>
                <w:color w:val="auto"/>
              </w:rPr>
            </w:pPr>
          </w:p>
        </w:tc>
      </w:tr>
      <w:tr>
        <w:trPr>
          <w:trHeight w:val="295"/>
        </w:trPr>
        <w:tc>
          <w:tcPr>
            <w:tcW w:w="1600" w:type="dxa"/>
            <w:vAlign w:val="bottom"/>
          </w:tcPr>
          <w:p>
            <w:pPr>
              <w:spacing w:after="0"/>
              <w:rPr>
                <w:sz w:val="24"/>
                <w:szCs w:val="24"/>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subjectivity and uncertainty of estimating the reserve for losses and loss adjustment expenses is caused by various factors</w:t>
            </w:r>
          </w:p>
        </w:tc>
        <w:tc>
          <w:tcPr>
            <w:tcW w:w="0" w:type="dxa"/>
            <w:vAlign w:val="bottom"/>
          </w:tcPr>
          <w:p>
            <w:pPr>
              <w:spacing w:after="0"/>
              <w:rPr>
                <w:sz w:val="1"/>
                <w:szCs w:val="1"/>
                <w:color w:val="auto"/>
              </w:rPr>
            </w:pPr>
          </w:p>
        </w:tc>
      </w:tr>
      <w:tr>
        <w:trPr>
          <w:trHeight w:val="183"/>
        </w:trPr>
        <w:tc>
          <w:tcPr>
            <w:tcW w:w="1600" w:type="dxa"/>
            <w:vAlign w:val="bottom"/>
          </w:tcPr>
          <w:p>
            <w:pPr>
              <w:spacing w:after="0"/>
              <w:rPr>
                <w:sz w:val="15"/>
                <w:szCs w:val="15"/>
                <w:color w:val="auto"/>
              </w:rPr>
            </w:pPr>
          </w:p>
        </w:tc>
        <w:tc>
          <w:tcPr>
            <w:tcW w:w="9560" w:type="dxa"/>
            <w:vAlign w:val="bottom"/>
          </w:tcPr>
          <w:p>
            <w:pPr>
              <w:ind w:left="220"/>
              <w:spacing w:after="0" w:line="183" w:lineRule="exact"/>
              <w:rPr>
                <w:sz w:val="20"/>
                <w:szCs w:val="20"/>
                <w:color w:val="auto"/>
              </w:rPr>
            </w:pPr>
            <w:r>
              <w:rPr>
                <w:rFonts w:ascii="Times New Roman" w:cs="Times New Roman" w:eastAsia="Times New Roman" w:hAnsi="Times New Roman"/>
                <w:sz w:val="18"/>
                <w:szCs w:val="18"/>
                <w:color w:val="auto"/>
                <w:w w:val="99"/>
              </w:rPr>
              <w:t>including the uncertainty of future frequency and severity of claims, economic and social trends including inflation and litigation,</w:t>
            </w: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9560" w:type="dxa"/>
            <w:vAlign w:val="bottom"/>
          </w:tcPr>
          <w:p>
            <w:pPr>
              <w:ind w:left="220"/>
              <w:spacing w:after="0" w:line="180" w:lineRule="exact"/>
              <w:rPr>
                <w:sz w:val="20"/>
                <w:szCs w:val="20"/>
                <w:color w:val="auto"/>
              </w:rPr>
            </w:pPr>
            <w:r>
              <w:rPr>
                <w:rFonts w:ascii="Times New Roman" w:cs="Times New Roman" w:eastAsia="Times New Roman" w:hAnsi="Times New Roman"/>
                <w:sz w:val="18"/>
                <w:szCs w:val="18"/>
                <w:color w:val="auto"/>
              </w:rPr>
              <w:t>changes in the business and exposure mix, as well as changes in operations. As such, performing audit procedures to evaluate the</w:t>
            </w: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9560" w:type="dxa"/>
            <w:vAlign w:val="bottom"/>
          </w:tcPr>
          <w:p>
            <w:pPr>
              <w:ind w:left="220"/>
              <w:spacing w:after="0" w:line="175" w:lineRule="exact"/>
              <w:rPr>
                <w:sz w:val="20"/>
                <w:szCs w:val="20"/>
                <w:color w:val="auto"/>
              </w:rPr>
            </w:pPr>
            <w:r>
              <w:rPr>
                <w:rFonts w:ascii="Times New Roman" w:cs="Times New Roman" w:eastAsia="Times New Roman" w:hAnsi="Times New Roman"/>
                <w:sz w:val="18"/>
                <w:szCs w:val="18"/>
                <w:color w:val="auto"/>
              </w:rPr>
              <w:t>reserve for losses and loss adjustment expenses required a high degree of auditor judgment and an increased extent of effort,</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including the involvement of our actuarial specialists.</w:t>
            </w:r>
          </w:p>
        </w:tc>
        <w:tc>
          <w:tcPr>
            <w:tcW w:w="0" w:type="dxa"/>
            <w:vAlign w:val="bottom"/>
          </w:tcPr>
          <w:p>
            <w:pPr>
              <w:spacing w:after="0"/>
              <w:rPr>
                <w:sz w:val="1"/>
                <w:szCs w:val="1"/>
                <w:color w:val="auto"/>
              </w:rPr>
            </w:pPr>
          </w:p>
        </w:tc>
      </w:tr>
      <w:tr>
        <w:trPr>
          <w:trHeight w:val="183"/>
        </w:trPr>
        <w:tc>
          <w:tcPr>
            <w:tcW w:w="1600" w:type="dxa"/>
            <w:vAlign w:val="bottom"/>
          </w:tcPr>
          <w:p>
            <w:pPr>
              <w:spacing w:after="0" w:line="183" w:lineRule="exact"/>
              <w:rPr>
                <w:sz w:val="20"/>
                <w:szCs w:val="20"/>
                <w:color w:val="auto"/>
              </w:rPr>
            </w:pPr>
            <w:r>
              <w:rPr>
                <w:rFonts w:ascii="Times New Roman" w:cs="Times New Roman" w:eastAsia="Times New Roman" w:hAnsi="Times New Roman"/>
                <w:sz w:val="18"/>
                <w:szCs w:val="18"/>
                <w:i w:val="1"/>
                <w:iCs w:val="1"/>
                <w:color w:val="auto"/>
              </w:rPr>
              <w:t>How We Addressed</w:t>
            </w:r>
          </w:p>
        </w:tc>
        <w:tc>
          <w:tcPr>
            <w:tcW w:w="9560" w:type="dxa"/>
            <w:vAlign w:val="bottom"/>
          </w:tcPr>
          <w:p>
            <w:pPr>
              <w:ind w:left="220"/>
              <w:spacing w:after="0" w:line="183" w:lineRule="exact"/>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related to the valuation of</w:t>
            </w:r>
          </w:p>
        </w:tc>
        <w:tc>
          <w:tcPr>
            <w:tcW w:w="0" w:type="dxa"/>
            <w:vAlign w:val="bottom"/>
          </w:tcPr>
          <w:p>
            <w:pPr>
              <w:spacing w:after="0"/>
              <w:rPr>
                <w:sz w:val="1"/>
                <w:szCs w:val="1"/>
                <w:color w:val="auto"/>
              </w:rPr>
            </w:pPr>
          </w:p>
        </w:tc>
      </w:tr>
      <w:tr>
        <w:trPr>
          <w:trHeight w:val="175"/>
        </w:trPr>
        <w:tc>
          <w:tcPr>
            <w:tcW w:w="1600" w:type="dxa"/>
            <w:vAlign w:val="bottom"/>
          </w:tcPr>
          <w:p>
            <w:pPr>
              <w:spacing w:after="0" w:line="175" w:lineRule="exact"/>
              <w:rPr>
                <w:sz w:val="20"/>
                <w:szCs w:val="20"/>
                <w:color w:val="auto"/>
              </w:rPr>
            </w:pPr>
            <w:r>
              <w:rPr>
                <w:rFonts w:ascii="Times New Roman" w:cs="Times New Roman" w:eastAsia="Times New Roman" w:hAnsi="Times New Roman"/>
                <w:sz w:val="18"/>
                <w:szCs w:val="18"/>
                <w:i w:val="1"/>
                <w:iCs w:val="1"/>
                <w:color w:val="auto"/>
              </w:rPr>
              <w:t>the Matter in Our</w:t>
            </w:r>
          </w:p>
        </w:tc>
        <w:tc>
          <w:tcPr>
            <w:tcW w:w="9560" w:type="dxa"/>
            <w:vAlign w:val="bottom"/>
          </w:tcPr>
          <w:p>
            <w:pPr>
              <w:ind w:left="220"/>
              <w:spacing w:after="0" w:line="175" w:lineRule="exact"/>
              <w:rPr>
                <w:sz w:val="20"/>
                <w:szCs w:val="20"/>
                <w:color w:val="auto"/>
              </w:rPr>
            </w:pPr>
            <w:r>
              <w:rPr>
                <w:rFonts w:ascii="Times New Roman" w:cs="Times New Roman" w:eastAsia="Times New Roman" w:hAnsi="Times New Roman"/>
                <w:sz w:val="18"/>
                <w:szCs w:val="18"/>
                <w:color w:val="auto"/>
              </w:rPr>
              <w:t>the reserve for losses and loss adjustment expenses. This included testing controls that management has in place over the inputs,</w:t>
            </w:r>
          </w:p>
        </w:tc>
        <w:tc>
          <w:tcPr>
            <w:tcW w:w="0" w:type="dxa"/>
            <w:vAlign w:val="bottom"/>
          </w:tcPr>
          <w:p>
            <w:pPr>
              <w:spacing w:after="0"/>
              <w:rPr>
                <w:sz w:val="1"/>
                <w:szCs w:val="1"/>
                <w:color w:val="auto"/>
              </w:rPr>
            </w:pPr>
          </w:p>
        </w:tc>
      </w:tr>
      <w:tr>
        <w:trPr>
          <w:trHeight w:val="236"/>
        </w:trPr>
        <w:tc>
          <w:tcPr>
            <w:tcW w:w="1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methods and assumptions used in estimating the reserve.</w:t>
            </w:r>
          </w:p>
        </w:tc>
        <w:tc>
          <w:tcPr>
            <w:tcW w:w="0" w:type="dxa"/>
            <w:vAlign w:val="bottom"/>
          </w:tcPr>
          <w:p>
            <w:pPr>
              <w:spacing w:after="0"/>
              <w:rPr>
                <w:sz w:val="1"/>
                <w:szCs w:val="1"/>
                <w:color w:val="auto"/>
              </w:rPr>
            </w:pPr>
          </w:p>
        </w:tc>
      </w:tr>
      <w:tr>
        <w:trPr>
          <w:trHeight w:val="404"/>
        </w:trPr>
        <w:tc>
          <w:tcPr>
            <w:tcW w:w="1600" w:type="dxa"/>
            <w:vAlign w:val="bottom"/>
          </w:tcPr>
          <w:p>
            <w:pPr>
              <w:spacing w:after="0"/>
              <w:rPr>
                <w:sz w:val="24"/>
                <w:szCs w:val="24"/>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test the reserve for losses and loss adjustment expenses, we evaluated the actuarial methods and assumptions used by the</w:t>
            </w:r>
          </w:p>
        </w:tc>
        <w:tc>
          <w:tcPr>
            <w:tcW w:w="0" w:type="dxa"/>
            <w:vAlign w:val="bottom"/>
          </w:tcPr>
          <w:p>
            <w:pPr>
              <w:spacing w:after="0"/>
              <w:rPr>
                <w:sz w:val="1"/>
                <w:szCs w:val="1"/>
                <w:color w:val="auto"/>
              </w:rPr>
            </w:pPr>
          </w:p>
        </w:tc>
      </w:tr>
      <w:tr>
        <w:trPr>
          <w:trHeight w:val="202"/>
        </w:trPr>
        <w:tc>
          <w:tcPr>
            <w:tcW w:w="1600" w:type="dxa"/>
            <w:vAlign w:val="bottom"/>
          </w:tcPr>
          <w:p>
            <w:pPr>
              <w:spacing w:after="0"/>
              <w:rPr>
                <w:sz w:val="17"/>
                <w:szCs w:val="17"/>
                <w:color w:val="auto"/>
              </w:rPr>
            </w:pPr>
          </w:p>
        </w:tc>
        <w:tc>
          <w:tcPr>
            <w:tcW w:w="956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Company with the assistance of our actuarial specialists as well as other judgments made by management in determining their</w:t>
            </w:r>
          </w:p>
        </w:tc>
        <w:tc>
          <w:tcPr>
            <w:tcW w:w="0" w:type="dxa"/>
            <w:vAlign w:val="bottom"/>
          </w:tcPr>
          <w:p>
            <w:pPr>
              <w:spacing w:after="0"/>
              <w:rPr>
                <w:sz w:val="1"/>
                <w:szCs w:val="1"/>
                <w:color w:val="auto"/>
              </w:rPr>
            </w:pPr>
          </w:p>
        </w:tc>
      </w:tr>
      <w:tr>
        <w:trPr>
          <w:trHeight w:val="215"/>
        </w:trPr>
        <w:tc>
          <w:tcPr>
            <w:tcW w:w="1600" w:type="dxa"/>
            <w:vAlign w:val="bottom"/>
          </w:tcPr>
          <w:p>
            <w:pPr>
              <w:spacing w:after="0"/>
              <w:rPr>
                <w:sz w:val="18"/>
                <w:szCs w:val="18"/>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best estimate of recorded reserves. We compared the Company’s prior year assumptions of expected development of ultimate loss</w:t>
            </w:r>
          </w:p>
        </w:tc>
        <w:tc>
          <w:tcPr>
            <w:tcW w:w="0" w:type="dxa"/>
            <w:vAlign w:val="bottom"/>
          </w:tcPr>
          <w:p>
            <w:pPr>
              <w:spacing w:after="0"/>
              <w:rPr>
                <w:sz w:val="1"/>
                <w:szCs w:val="1"/>
                <w:color w:val="auto"/>
              </w:rPr>
            </w:pPr>
          </w:p>
        </w:tc>
      </w:tr>
      <w:tr>
        <w:trPr>
          <w:trHeight w:val="202"/>
        </w:trPr>
        <w:tc>
          <w:tcPr>
            <w:tcW w:w="1600" w:type="dxa"/>
            <w:vAlign w:val="bottom"/>
          </w:tcPr>
          <w:p>
            <w:pPr>
              <w:spacing w:after="0"/>
              <w:rPr>
                <w:sz w:val="17"/>
                <w:szCs w:val="17"/>
                <w:color w:val="auto"/>
              </w:rPr>
            </w:pPr>
          </w:p>
        </w:tc>
        <w:tc>
          <w:tcPr>
            <w:tcW w:w="956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to actual losses incurred during the current year to identify potential management bias in the determination of the reserve for</w:t>
            </w:r>
          </w:p>
        </w:tc>
        <w:tc>
          <w:tcPr>
            <w:tcW w:w="0" w:type="dxa"/>
            <w:vAlign w:val="bottom"/>
          </w:tcPr>
          <w:p>
            <w:pPr>
              <w:spacing w:after="0"/>
              <w:rPr>
                <w:sz w:val="1"/>
                <w:szCs w:val="1"/>
                <w:color w:val="auto"/>
              </w:rPr>
            </w:pPr>
          </w:p>
        </w:tc>
      </w:tr>
      <w:tr>
        <w:trPr>
          <w:trHeight w:val="202"/>
        </w:trPr>
        <w:tc>
          <w:tcPr>
            <w:tcW w:w="1600" w:type="dxa"/>
            <w:vAlign w:val="bottom"/>
          </w:tcPr>
          <w:p>
            <w:pPr>
              <w:spacing w:after="0"/>
              <w:rPr>
                <w:sz w:val="17"/>
                <w:szCs w:val="17"/>
                <w:color w:val="auto"/>
              </w:rPr>
            </w:pPr>
          </w:p>
        </w:tc>
        <w:tc>
          <w:tcPr>
            <w:tcW w:w="956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losses and loss adjustment expenses. We independently projected reserves for selected lines of business using actual historical</w:t>
            </w:r>
          </w:p>
        </w:tc>
        <w:tc>
          <w:tcPr>
            <w:tcW w:w="0" w:type="dxa"/>
            <w:vAlign w:val="bottom"/>
          </w:tcPr>
          <w:p>
            <w:pPr>
              <w:spacing w:after="0"/>
              <w:rPr>
                <w:sz w:val="1"/>
                <w:szCs w:val="1"/>
                <w:color w:val="auto"/>
              </w:rPr>
            </w:pPr>
          </w:p>
        </w:tc>
      </w:tr>
      <w:tr>
        <w:trPr>
          <w:trHeight w:val="215"/>
        </w:trPr>
        <w:tc>
          <w:tcPr>
            <w:tcW w:w="1600" w:type="dxa"/>
            <w:vAlign w:val="bottom"/>
          </w:tcPr>
          <w:p>
            <w:pPr>
              <w:spacing w:after="0"/>
              <w:rPr>
                <w:sz w:val="18"/>
                <w:szCs w:val="18"/>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data and loss development patterns, as well as industry data and other benchmarks where applicable, and compared management’s</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recorded reserves to these independent estimates.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James River Group Holdings, Ltd.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4" w:lineRule="exact"/>
        <w:rPr>
          <w:sz w:val="20"/>
          <w:szCs w:val="20"/>
          <w:color w:val="auto"/>
        </w:rPr>
      </w:pPr>
    </w:p>
    <w:p>
      <w:pPr>
        <w:ind w:right="300" w:firstLine="323"/>
        <w:spacing w:after="0" w:line="254" w:lineRule="auto"/>
        <w:rPr>
          <w:sz w:val="20"/>
          <w:szCs w:val="20"/>
          <w:color w:val="auto"/>
        </w:rPr>
      </w:pPr>
      <w:r>
        <w:rPr>
          <w:rFonts w:ascii="Times New Roman" w:cs="Times New Roman" w:eastAsia="Times New Roman" w:hAnsi="Times New Roman"/>
          <w:sz w:val="18"/>
          <w:szCs w:val="18"/>
          <w:color w:val="auto"/>
        </w:rPr>
        <w:t>We have audited James River Group Holdings, Ltd. and subsidiaries’ internal control over financial reporting as of December 31, 2024, based on criteria established in Internal Control-Integrated Framework issued by the Committee of Sponsoring Organizations of the Treadway Commission (2013 framework), (the COSO criteria). In our opinion, James River Group Holdings, Ltd. and subsidiaries (the Company) maintained, in all material respects, effective internal control over financial reporting as of December 31, 2024, based on the COSO criteria</w:t>
      </w:r>
      <w:r>
        <w:rPr>
          <w:rFonts w:ascii="Times New Roman" w:cs="Times New Roman" w:eastAsia="Times New Roman" w:hAnsi="Times New Roman"/>
          <w:sz w:val="18"/>
          <w:szCs w:val="18"/>
          <w:b w:val="1"/>
          <w:bCs w:val="1"/>
          <w:color w:val="auto"/>
        </w:rPr>
        <w:t>.</w:t>
      </w:r>
    </w:p>
    <w:p>
      <w:pPr>
        <w:spacing w:after="0" w:line="2" w:lineRule="exact"/>
        <w:rPr>
          <w:sz w:val="20"/>
          <w:szCs w:val="20"/>
          <w:color w:val="auto"/>
        </w:rPr>
      </w:pPr>
    </w:p>
    <w:p>
      <w:pPr>
        <w:ind w:firstLine="323"/>
        <w:spacing w:after="0" w:line="25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(loss) income and comprehensive loss, changes in shareholders' equity and cash flows for each of the three years in the period ended December 31, 2024, and the related notes and financial statement schedules listed in the Index at Item 15(a) and our report dated March 4, 2025 expressed an unqualified opinion thereon.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4" w:lineRule="exact"/>
        <w:rPr>
          <w:sz w:val="20"/>
          <w:szCs w:val="20"/>
          <w:color w:val="auto"/>
        </w:rPr>
      </w:pPr>
    </w:p>
    <w:p>
      <w:pPr>
        <w:ind w:right="40" w:firstLine="323"/>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ind w:right="740" w:firstLine="323"/>
        <w:spacing w:after="0" w:line="28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ind w:right="40" w:firstLine="323"/>
        <w:spacing w:after="0" w:line="264"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4" w:lineRule="exact"/>
        <w:rPr>
          <w:sz w:val="20"/>
          <w:szCs w:val="20"/>
          <w:color w:val="auto"/>
        </w:rPr>
      </w:pPr>
    </w:p>
    <w:p>
      <w:pPr>
        <w:ind w:right="20" w:firstLine="323"/>
        <w:spacing w:after="0" w:line="25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6" w:lineRule="exact"/>
        <w:rPr>
          <w:sz w:val="20"/>
          <w:szCs w:val="20"/>
          <w:color w:val="auto"/>
        </w:rPr>
      </w:pPr>
    </w:p>
    <w:p>
      <w:pPr>
        <w:ind w:firstLine="323"/>
        <w:spacing w:after="0" w:line="264"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2025</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5"/>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8"/>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60" w:type="dxa"/>
            <w:vAlign w:val="bottom"/>
          </w:tcPr>
          <w:p>
            <w:pPr>
              <w:spacing w:after="0"/>
              <w:rPr>
                <w:sz w:val="17"/>
                <w:szCs w:val="17"/>
                <w:color w:val="auto"/>
              </w:rPr>
            </w:pPr>
          </w:p>
        </w:tc>
      </w:tr>
      <w:tr>
        <w:trPr>
          <w:trHeight w:val="23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Invested assets: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75"/>
        </w:trPr>
        <w:tc>
          <w:tcPr>
            <w:tcW w:w="824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8"/>
                <w:szCs w:val="18"/>
                <w:color w:val="auto"/>
              </w:rPr>
              <w:t>Fixed maturity securities, available-for-sale, at fair value (amortized cost: 2024 – $1,278,337; 2023 –</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2"/>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$1,405,136)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1,189,733</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1,324,476</w:t>
            </w:r>
          </w:p>
        </w:tc>
      </w:tr>
      <w:tr>
        <w:trPr>
          <w:trHeight w:val="228"/>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 at fair value (cost: 2024 – $82,678; 2023 – $114,107)</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119,945</w:t>
            </w:r>
          </w:p>
        </w:tc>
      </w:tr>
      <w:tr>
        <w:trPr>
          <w:trHeight w:val="228"/>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loan participations, at fair value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156,169</w:t>
            </w:r>
          </w:p>
        </w:tc>
      </w:tr>
      <w:tr>
        <w:trPr>
          <w:trHeight w:val="228"/>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72,137</w:t>
            </w:r>
          </w:p>
        </w:tc>
      </w:tr>
      <w:tr>
        <w:trPr>
          <w:trHeight w:val="228"/>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invested assets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33,134</w:t>
            </w:r>
          </w:p>
        </w:tc>
      </w:tr>
      <w:tr>
        <w:trPr>
          <w:trHeight w:val="222"/>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invested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1,552,396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1,705,861</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362,345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274,298</w:t>
            </w: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72,449</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w:t>
            </w: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receivable and agents’ balances,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243,882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249,490</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recoverable on unpaid losses,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1,996,913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1,358,474</w:t>
            </w: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recoverable on paid losses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157,991</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296,635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293,108</w:t>
            </w: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31,497</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32,813</w:t>
            </w: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48,297</w:t>
            </w: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receivable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86,513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115,418</w:t>
            </w: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held-for-sale (Note 2 - discontinued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783,393</w:t>
            </w:r>
          </w:p>
        </w:tc>
      </w:tr>
      <w:tr>
        <w:trPr>
          <w:trHeight w:val="247"/>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5,007,076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5,317,250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5"/>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8"/>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r>
      <w:tr>
        <w:trPr>
          <w:trHeight w:val="24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8"/>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3,084,406</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2,606,107</w:t>
            </w:r>
          </w:p>
        </w:tc>
      </w:tr>
      <w:tr>
        <w:trPr>
          <w:trHeight w:val="228"/>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572,034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587,899</w:t>
            </w:r>
          </w:p>
        </w:tc>
      </w:tr>
      <w:tr>
        <w:trPr>
          <w:trHeight w:val="228"/>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Payables to reinsurers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132,922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158,670</w:t>
            </w:r>
          </w:p>
        </w:tc>
      </w:tr>
      <w:tr>
        <w:trPr>
          <w:trHeight w:val="228"/>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Funds held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65,235</w:t>
            </w:r>
          </w:p>
        </w:tc>
      </w:tr>
      <w:tr>
        <w:trPr>
          <w:trHeight w:val="228"/>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reinsurance gain</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20,733</w:t>
            </w:r>
          </w:p>
        </w:tc>
      </w:tr>
      <w:tr>
        <w:trPr>
          <w:trHeight w:val="228"/>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debt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222,300</w:t>
            </w:r>
          </w:p>
        </w:tc>
      </w:tr>
      <w:tr>
        <w:trPr>
          <w:trHeight w:val="228"/>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Junior subordinated debt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104,055</w:t>
            </w:r>
          </w:p>
        </w:tc>
      </w:tr>
      <w:tr>
        <w:trPr>
          <w:trHeight w:val="228"/>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56,722</w:t>
            </w:r>
          </w:p>
        </w:tc>
      </w:tr>
      <w:tr>
        <w:trPr>
          <w:trHeight w:val="228"/>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182,524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174,513</w:t>
            </w:r>
          </w:p>
        </w:tc>
      </w:tr>
      <w:tr>
        <w:trPr>
          <w:trHeight w:val="228"/>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 held-for-sale (Note 2 - discontinued operations)</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641,497</w:t>
            </w:r>
          </w:p>
        </w:tc>
      </w:tr>
      <w:tr>
        <w:trPr>
          <w:trHeight w:val="222"/>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4,413,046</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4,637,731</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75"/>
        </w:trPr>
        <w:tc>
          <w:tcPr>
            <w:tcW w:w="82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Series A redeemable preferred shares – 2024 and 2023: 165,000 shares authorized; 112,500 and 150,000 shares</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2"/>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144,898</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75"/>
        </w:trPr>
        <w:tc>
          <w:tcPr>
            <w:tcW w:w="8240" w:type="dxa"/>
            <w:vAlign w:val="bottom"/>
          </w:tcPr>
          <w:p>
            <w:pPr>
              <w:ind w:left="140"/>
              <w:spacing w:after="0" w:line="175" w:lineRule="exact"/>
              <w:rPr>
                <w:sz w:val="20"/>
                <w:szCs w:val="20"/>
                <w:color w:val="auto"/>
              </w:rPr>
            </w:pPr>
            <w:r>
              <w:rPr>
                <w:rFonts w:ascii="Times New Roman" w:cs="Times New Roman" w:eastAsia="Times New Roman" w:hAnsi="Times New Roman"/>
                <w:sz w:val="18"/>
                <w:szCs w:val="18"/>
                <w:color w:val="auto"/>
              </w:rPr>
              <w:t>Common Shares – 2024 and 2023: $0.0002 par value; 200,000,000 shares authorized; 45,644,318 and</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2"/>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37,641,563 shares issued and outstanding, respectively</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75"/>
        </w:trPr>
        <w:tc>
          <w:tcPr>
            <w:tcW w:w="824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8"/>
                <w:szCs w:val="18"/>
                <w:color w:val="auto"/>
              </w:rPr>
              <w:t>Preferred Shares – 2024 and 2023: $0.00125 par value; 19,835,000 shares authorized; no shares issued and</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2"/>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933,311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876,240</w:t>
            </w:r>
          </w:p>
        </w:tc>
      </w:tr>
      <w:tr>
        <w:trPr>
          <w:trHeight w:val="228"/>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deficit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(277,905)</w:t>
            </w:r>
          </w:p>
        </w:tc>
      </w:tr>
      <w:tr>
        <w:trPr>
          <w:trHeight w:val="228"/>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(69,997)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(63,721)</w:t>
            </w:r>
          </w:p>
        </w:tc>
      </w:tr>
      <w:tr>
        <w:trPr>
          <w:trHeight w:val="22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460,915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534,621</w:t>
            </w:r>
          </w:p>
        </w:tc>
      </w:tr>
      <w:tr>
        <w:trPr>
          <w:trHeight w:val="222"/>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Series A redeemable preferred shares,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5,007,076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5,317,250</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(Loss) Income and Comprehensive Loss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6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0"/>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gridSpan w:val="6"/>
          </w:tcPr>
          <w:p>
            <w:pPr>
              <w:jc w:val="center"/>
              <w:ind w:left="608"/>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1020" w:type="dxa"/>
            <w:vAlign w:val="bottom"/>
          </w:tcPr>
          <w:p>
            <w:pPr>
              <w:spacing w:after="0"/>
              <w:rPr>
                <w:sz w:val="16"/>
                <w:szCs w:val="16"/>
                <w:color w:val="auto"/>
              </w:rPr>
            </w:pPr>
          </w:p>
        </w:tc>
      </w:tr>
      <w:tr>
        <w:trPr>
          <w:trHeight w:val="188"/>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written premiums</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1,431,772</w:t>
            </w:r>
          </w:p>
        </w:tc>
        <w:tc>
          <w:tcPr>
            <w:tcW w:w="4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1,508,660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1,411,372</w:t>
            </w:r>
          </w:p>
        </w:tc>
      </w:tr>
      <w:tr>
        <w:trPr>
          <w:trHeight w:val="195"/>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Ceded written premiums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(850,918)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(814,759)</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(745,926)</w:t>
            </w:r>
          </w:p>
        </w:tc>
      </w:tr>
      <w:tr>
        <w:trPr>
          <w:trHeight w:val="20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written premiums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580,854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693,901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665,446</w:t>
            </w:r>
          </w:p>
        </w:tc>
      </w:tr>
      <w:tr>
        <w:trPr>
          <w:trHeight w:val="195"/>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 in net unearned premiums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19,342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14,104</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(35,712)</w:t>
            </w:r>
          </w:p>
        </w:tc>
      </w:tr>
      <w:tr>
        <w:trPr>
          <w:trHeight w:val="20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earned premiums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600,196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708,005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629,734</w:t>
            </w:r>
          </w:p>
        </w:tc>
      </w:tr>
      <w:tr>
        <w:trPr>
          <w:trHeight w:val="194"/>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93,089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84,046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43,188</w:t>
            </w: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 and unrealized gains (losses) on investments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(15,720)</w:t>
            </w:r>
          </w:p>
        </w:tc>
      </w:tr>
      <w:tr>
        <w:trPr>
          <w:trHeight w:val="195"/>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9,517</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4,312</w:t>
            </w:r>
          </w:p>
        </w:tc>
      </w:tr>
      <w:tr>
        <w:trPr>
          <w:trHeight w:val="20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707,626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812,009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661,514</w:t>
            </w:r>
          </w:p>
        </w:tc>
      </w:tr>
      <w:tr>
        <w:trPr>
          <w:trHeight w:val="195"/>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and loss adjustment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554,374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500,157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440,642</w:t>
            </w:r>
          </w:p>
        </w:tc>
      </w:tr>
      <w:tr>
        <w:trPr>
          <w:trHeight w:val="194"/>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193,198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193,656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152,570</w:t>
            </w: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r>
      <w:tr>
        <w:trPr>
          <w:trHeight w:val="194"/>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24,666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13,872</w:t>
            </w: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r>
      <w:tr>
        <w:trPr>
          <w:trHeight w:val="195"/>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778,746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725,095</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608,242</w:t>
            </w:r>
          </w:p>
        </w:tc>
      </w:tr>
      <w:tr>
        <w:trPr>
          <w:trHeight w:val="187"/>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income from continuing operations before income taxes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86,914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53,272</w:t>
            </w: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expense on continuing operations: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4"/>
        </w:trPr>
        <w:tc>
          <w:tcPr>
            <w:tcW w:w="6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31,677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13,787</w:t>
            </w:r>
          </w:p>
        </w:tc>
      </w:tr>
      <w:tr>
        <w:trPr>
          <w:trHeight w:val="203"/>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(5,972)</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4,627</w:t>
            </w:r>
          </w:p>
        </w:tc>
      </w:tr>
      <w:tr>
        <w:trPr>
          <w:trHeight w:val="195"/>
        </w:trPr>
        <w:tc>
          <w:tcPr>
            <w:tcW w:w="66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25,705</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18,414</w:t>
            </w:r>
          </w:p>
        </w:tc>
      </w:tr>
      <w:tr>
        <w:trPr>
          <w:trHeight w:val="20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from continuing operations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(63,486)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61,209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34,858</w:t>
            </w:r>
          </w:p>
        </w:tc>
      </w:tr>
      <w:tr>
        <w:trPr>
          <w:trHeight w:val="194"/>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Discontinued operations (Note 2):</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from discontinued operations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(88,493)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(3,885)</w:t>
            </w:r>
          </w:p>
        </w:tc>
      </w:tr>
      <w:tr>
        <w:trPr>
          <w:trHeight w:val="195"/>
        </w:trPr>
        <w:tc>
          <w:tcPr>
            <w:tcW w:w="6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Loss on disposal of discontinued operations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(80,400)</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loss from discontinued operations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(168,893)</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(3,885)</w:t>
            </w:r>
          </w:p>
        </w:tc>
      </w:tr>
      <w:tr>
        <w:trPr>
          <w:trHeight w:val="188"/>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(107,684)</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30,973</w:t>
            </w:r>
          </w:p>
        </w:tc>
      </w:tr>
      <w:tr>
        <w:trPr>
          <w:trHeight w:val="20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Series A preferred shares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(8,750)</w:t>
            </w:r>
          </w:p>
        </w:tc>
      </w:tr>
      <w:tr>
        <w:trPr>
          <w:trHeight w:val="195"/>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 available to common shareholders</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(118,269)</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(118,184)</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22,223</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2"/>
        </w:trPr>
        <w:tc>
          <w:tcPr>
            <w:tcW w:w="6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94"/>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(losses) gains, net of taxes of $(1,668) in 2024, $6,384 in 2023, and $(27,041) in 2022</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99,323</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(193,022)</w:t>
            </w:r>
          </w:p>
        </w:tc>
      </w:tr>
      <w:tr>
        <w:trPr>
          <w:trHeight w:val="195"/>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loss</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(87,396)</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(8,361)</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(162,049)</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2"/>
        </w:trPr>
        <w:tc>
          <w:tcPr>
            <w:tcW w:w="6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94"/>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 per common share:</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4"/>
        </w:trPr>
        <w:tc>
          <w:tcPr>
            <w:tcW w:w="6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Continuing operations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0.70</w:t>
            </w:r>
          </w:p>
        </w:tc>
      </w:tr>
      <w:tr>
        <w:trPr>
          <w:trHeight w:val="210"/>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Discontinued operations</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4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r>
      <w:tr>
        <w:trPr>
          <w:trHeight w:val="187"/>
        </w:trPr>
        <w:tc>
          <w:tcPr>
            <w:tcW w:w="6680" w:type="dxa"/>
            <w:vAlign w:val="bottom"/>
          </w:tcPr>
          <w:p>
            <w:pPr>
              <w:spacing w:after="0"/>
              <w:rPr>
                <w:sz w:val="16"/>
                <w:szCs w:val="16"/>
                <w:color w:val="auto"/>
              </w:rPr>
            </w:pP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20" w:type="dxa"/>
            <w:vAlign w:val="bottom"/>
          </w:tcPr>
          <w:p>
            <w:pPr>
              <w:spacing w:after="0"/>
              <w:rPr>
                <w:sz w:val="16"/>
                <w:szCs w:val="16"/>
                <w:color w:val="auto"/>
              </w:rPr>
            </w:pPr>
          </w:p>
        </w:tc>
        <w:tc>
          <w:tcPr>
            <w:tcW w:w="3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20" w:type="dxa"/>
            <w:vAlign w:val="bottom"/>
          </w:tcPr>
          <w:p>
            <w:pPr>
              <w:spacing w:after="0"/>
              <w:rPr>
                <w:sz w:val="16"/>
                <w:szCs w:val="16"/>
                <w:color w:val="auto"/>
              </w:rPr>
            </w:pPr>
          </w:p>
        </w:tc>
        <w:tc>
          <w:tcPr>
            <w:tcW w:w="42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0.59</w:t>
            </w:r>
          </w:p>
        </w:tc>
      </w:tr>
      <w:tr>
        <w:trPr>
          <w:trHeight w:val="210"/>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4"/>
        </w:trPr>
        <w:tc>
          <w:tcPr>
            <w:tcW w:w="6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Continuing operations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0.69</w:t>
            </w:r>
          </w:p>
        </w:tc>
      </w:tr>
      <w:tr>
        <w:trPr>
          <w:trHeight w:val="210"/>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Discontinued operations</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4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r>
      <w:tr>
        <w:trPr>
          <w:trHeight w:val="187"/>
        </w:trPr>
        <w:tc>
          <w:tcPr>
            <w:tcW w:w="6680" w:type="dxa"/>
            <w:vAlign w:val="bottom"/>
          </w:tcPr>
          <w:p>
            <w:pPr>
              <w:spacing w:after="0"/>
              <w:rPr>
                <w:sz w:val="16"/>
                <w:szCs w:val="16"/>
                <w:color w:val="auto"/>
              </w:rPr>
            </w:pP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20" w:type="dxa"/>
            <w:vAlign w:val="bottom"/>
          </w:tcPr>
          <w:p>
            <w:pPr>
              <w:spacing w:after="0"/>
              <w:rPr>
                <w:sz w:val="16"/>
                <w:szCs w:val="16"/>
                <w:color w:val="auto"/>
              </w:rPr>
            </w:pPr>
          </w:p>
        </w:tc>
        <w:tc>
          <w:tcPr>
            <w:tcW w:w="3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20" w:type="dxa"/>
            <w:vAlign w:val="bottom"/>
          </w:tcPr>
          <w:p>
            <w:pPr>
              <w:spacing w:after="0"/>
              <w:rPr>
                <w:sz w:val="16"/>
                <w:szCs w:val="16"/>
                <w:color w:val="auto"/>
              </w:rPr>
            </w:pPr>
          </w:p>
        </w:tc>
        <w:tc>
          <w:tcPr>
            <w:tcW w:w="42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0.59</w:t>
            </w: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declared per common share</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4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r>
      <w:tr>
        <w:trPr>
          <w:trHeight w:val="194"/>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5"/>
        </w:trPr>
        <w:tc>
          <w:tcPr>
            <w:tcW w:w="6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38,685,003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37,618,660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37,442,856</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6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38,685,003</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37,810,440</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37,650,969</w:t>
            </w: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83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6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6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8"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6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8"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60" w:type="dxa"/>
            <w:vAlign w:val="bottom"/>
          </w:tcPr>
          <w:p>
            <w:pPr>
              <w:jc w:val="center"/>
              <w:ind w:right="40"/>
              <w:spacing w:after="0" w:line="148"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5"/>
        </w:trPr>
        <w:tc>
          <w:tcPr>
            <w:tcW w:w="3280" w:type="dxa"/>
            <w:vAlign w:val="bottom"/>
          </w:tcPr>
          <w:p>
            <w:pPr>
              <w:spacing w:after="0"/>
              <w:rPr>
                <w:sz w:val="16"/>
                <w:szCs w:val="16"/>
                <w:color w:val="auto"/>
              </w:rPr>
            </w:pPr>
          </w:p>
        </w:tc>
        <w:tc>
          <w:tcPr>
            <w:tcW w:w="12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37,373,066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862,040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725,362</w:t>
            </w:r>
          </w:p>
        </w:tc>
        <w:tc>
          <w:tcPr>
            <w:tcW w:w="0" w:type="dxa"/>
            <w:vAlign w:val="bottom"/>
          </w:tcPr>
          <w:p>
            <w:pPr>
              <w:spacing w:after="0"/>
              <w:rPr>
                <w:sz w:val="1"/>
                <w:szCs w:val="1"/>
                <w:color w:val="auto"/>
              </w:rPr>
            </w:pPr>
          </w:p>
        </w:tc>
      </w:tr>
      <w:tr>
        <w:trPr>
          <w:trHeight w:val="212"/>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30,973</w:t>
            </w:r>
          </w:p>
        </w:tc>
        <w:tc>
          <w:tcPr>
            <w:tcW w:w="0" w:type="dxa"/>
            <w:vAlign w:val="bottom"/>
          </w:tcPr>
          <w:p>
            <w:pPr>
              <w:spacing w:after="0"/>
              <w:rPr>
                <w:sz w:val="1"/>
                <w:szCs w:val="1"/>
                <w:color w:val="auto"/>
              </w:rPr>
            </w:pPr>
          </w:p>
        </w:tc>
      </w:tr>
      <w:tr>
        <w:trPr>
          <w:trHeight w:val="21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(193,022)</w:t>
            </w:r>
          </w:p>
        </w:tc>
        <w:tc>
          <w:tcPr>
            <w:tcW w:w="0" w:type="dxa"/>
            <w:vAlign w:val="bottom"/>
          </w:tcPr>
          <w:p>
            <w:pPr>
              <w:spacing w:after="0"/>
              <w:rPr>
                <w:sz w:val="1"/>
                <w:szCs w:val="1"/>
                <w:color w:val="auto"/>
              </w:rPr>
            </w:pPr>
          </w:p>
        </w:tc>
      </w:tr>
      <w:tr>
        <w:trPr>
          <w:trHeight w:val="212"/>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RSUs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0" w:type="dxa"/>
            <w:vAlign w:val="bottom"/>
          </w:tcPr>
          <w:p>
            <w:pPr>
              <w:spacing w:after="0"/>
              <w:rPr>
                <w:sz w:val="1"/>
                <w:szCs w:val="1"/>
                <w:color w:val="auto"/>
              </w:rPr>
            </w:pPr>
          </w:p>
        </w:tc>
      </w:tr>
      <w:tr>
        <w:trPr>
          <w:trHeight w:val="164"/>
        </w:trPr>
        <w:tc>
          <w:tcPr>
            <w:tcW w:w="32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Compensation expense under share incentive</w:t>
            </w: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8,122</w:t>
            </w:r>
          </w:p>
        </w:tc>
        <w:tc>
          <w:tcPr>
            <w:tcW w:w="0" w:type="dxa"/>
            <w:vAlign w:val="bottom"/>
          </w:tcPr>
          <w:p>
            <w:pPr>
              <w:spacing w:after="0"/>
              <w:rPr>
                <w:sz w:val="1"/>
                <w:szCs w:val="1"/>
                <w:color w:val="auto"/>
              </w:rPr>
            </w:pPr>
          </w:p>
        </w:tc>
      </w:tr>
      <w:tr>
        <w:trPr>
          <w:trHeight w:val="215"/>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plans</w:t>
            </w:r>
          </w:p>
        </w:tc>
        <w:tc>
          <w:tcPr>
            <w:tcW w:w="12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Series A preferred shares</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0" w:type="dxa"/>
            <w:vAlign w:val="bottom"/>
          </w:tcPr>
          <w:p>
            <w:pPr>
              <w:spacing w:after="0"/>
              <w:rPr>
                <w:sz w:val="1"/>
                <w:szCs w:val="1"/>
                <w:color w:val="auto"/>
              </w:rPr>
            </w:pPr>
          </w:p>
        </w:tc>
      </w:tr>
      <w:tr>
        <w:trPr>
          <w:trHeight w:val="21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shares</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(7,615)</w:t>
            </w:r>
          </w:p>
        </w:tc>
        <w:tc>
          <w:tcPr>
            <w:tcW w:w="0" w:type="dxa"/>
            <w:vAlign w:val="bottom"/>
          </w:tcPr>
          <w:p>
            <w:pPr>
              <w:spacing w:after="0"/>
              <w:rPr>
                <w:sz w:val="1"/>
                <w:szCs w:val="1"/>
                <w:color w:val="auto"/>
              </w:rPr>
            </w:pPr>
          </w:p>
        </w:tc>
      </w:tr>
      <w:tr>
        <w:trPr>
          <w:trHeight w:val="206"/>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2022</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37,470,237</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868,858</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(152,055)</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(163,044)</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553,766</w:t>
            </w:r>
          </w:p>
        </w:tc>
        <w:tc>
          <w:tcPr>
            <w:tcW w:w="0" w:type="dxa"/>
            <w:vAlign w:val="bottom"/>
          </w:tcPr>
          <w:p>
            <w:pPr>
              <w:spacing w:after="0"/>
              <w:rPr>
                <w:sz w:val="1"/>
                <w:szCs w:val="1"/>
                <w:color w:val="auto"/>
              </w:rPr>
            </w:pPr>
          </w:p>
        </w:tc>
      </w:tr>
      <w:tr>
        <w:trPr>
          <w:trHeight w:val="21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(107,684)</w:t>
            </w:r>
          </w:p>
        </w:tc>
        <w:tc>
          <w:tcPr>
            <w:tcW w:w="0" w:type="dxa"/>
            <w:vAlign w:val="bottom"/>
          </w:tcPr>
          <w:p>
            <w:pPr>
              <w:spacing w:after="0"/>
              <w:rPr>
                <w:sz w:val="1"/>
                <w:szCs w:val="1"/>
                <w:color w:val="auto"/>
              </w:rPr>
            </w:pPr>
          </w:p>
        </w:tc>
      </w:tr>
      <w:tr>
        <w:trPr>
          <w:trHeight w:val="212"/>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99,323</w:t>
            </w:r>
          </w:p>
        </w:tc>
        <w:tc>
          <w:tcPr>
            <w:tcW w:w="0" w:type="dxa"/>
            <w:vAlign w:val="bottom"/>
          </w:tcPr>
          <w:p>
            <w:pPr>
              <w:spacing w:after="0"/>
              <w:rPr>
                <w:sz w:val="1"/>
                <w:szCs w:val="1"/>
                <w:color w:val="auto"/>
              </w:rPr>
            </w:pPr>
          </w:p>
        </w:tc>
      </w:tr>
      <w:tr>
        <w:trPr>
          <w:trHeight w:val="21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RSUs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0" w:type="dxa"/>
            <w:vAlign w:val="bottom"/>
          </w:tcPr>
          <w:p>
            <w:pPr>
              <w:spacing w:after="0"/>
              <w:rPr>
                <w:sz w:val="1"/>
                <w:szCs w:val="1"/>
                <w:color w:val="auto"/>
              </w:rPr>
            </w:pPr>
          </w:p>
        </w:tc>
      </w:tr>
      <w:tr>
        <w:trPr>
          <w:trHeight w:val="161"/>
        </w:trPr>
        <w:tc>
          <w:tcPr>
            <w:tcW w:w="32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Compensation expense under share incentive</w:t>
            </w: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9,116</w:t>
            </w:r>
          </w:p>
        </w:tc>
        <w:tc>
          <w:tcPr>
            <w:tcW w:w="0" w:type="dxa"/>
            <w:vAlign w:val="bottom"/>
          </w:tcPr>
          <w:p>
            <w:pPr>
              <w:spacing w:after="0"/>
              <w:rPr>
                <w:sz w:val="1"/>
                <w:szCs w:val="1"/>
                <w:color w:val="auto"/>
              </w:rPr>
            </w:pPr>
          </w:p>
        </w:tc>
      </w:tr>
      <w:tr>
        <w:trPr>
          <w:trHeight w:val="212"/>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plans</w:t>
            </w: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Series A preferred shares</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0" w:type="dxa"/>
            <w:vAlign w:val="bottom"/>
          </w:tcPr>
          <w:p>
            <w:pPr>
              <w:spacing w:after="0"/>
              <w:rPr>
                <w:sz w:val="1"/>
                <w:szCs w:val="1"/>
                <w:color w:val="auto"/>
              </w:rPr>
            </w:pPr>
          </w:p>
        </w:tc>
      </w:tr>
      <w:tr>
        <w:trPr>
          <w:trHeight w:val="212"/>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common shares</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(7,666)</w:t>
            </w:r>
          </w:p>
        </w:tc>
        <w:tc>
          <w:tcPr>
            <w:tcW w:w="0" w:type="dxa"/>
            <w:vAlign w:val="bottom"/>
          </w:tcPr>
          <w:p>
            <w:pPr>
              <w:spacing w:after="0"/>
              <w:rPr>
                <w:sz w:val="1"/>
                <w:szCs w:val="1"/>
                <w:color w:val="auto"/>
              </w:rPr>
            </w:pPr>
          </w:p>
        </w:tc>
      </w:tr>
      <w:tr>
        <w:trPr>
          <w:trHeight w:val="211"/>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37,641,563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876,240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(277,905)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534,621</w:t>
            </w:r>
          </w:p>
        </w:tc>
        <w:tc>
          <w:tcPr>
            <w:tcW w:w="0" w:type="dxa"/>
            <w:vAlign w:val="bottom"/>
          </w:tcPr>
          <w:p>
            <w:pPr>
              <w:spacing w:after="0"/>
              <w:rPr>
                <w:sz w:val="1"/>
                <w:szCs w:val="1"/>
                <w:color w:val="auto"/>
              </w:rPr>
            </w:pPr>
          </w:p>
        </w:tc>
      </w:tr>
      <w:tr>
        <w:trPr>
          <w:trHeight w:val="212"/>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(81,120)</w:t>
            </w:r>
          </w:p>
        </w:tc>
        <w:tc>
          <w:tcPr>
            <w:tcW w:w="0" w:type="dxa"/>
            <w:vAlign w:val="bottom"/>
          </w:tcPr>
          <w:p>
            <w:pPr>
              <w:spacing w:after="0"/>
              <w:rPr>
                <w:sz w:val="1"/>
                <w:szCs w:val="1"/>
                <w:color w:val="auto"/>
              </w:rPr>
            </w:pPr>
          </w:p>
        </w:tc>
      </w:tr>
      <w:tr>
        <w:trPr>
          <w:trHeight w:val="21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(6,276)</w:t>
            </w:r>
          </w:p>
        </w:tc>
        <w:tc>
          <w:tcPr>
            <w:tcW w:w="0" w:type="dxa"/>
            <w:vAlign w:val="bottom"/>
          </w:tcPr>
          <w:p>
            <w:pPr>
              <w:spacing w:after="0"/>
              <w:rPr>
                <w:sz w:val="1"/>
                <w:szCs w:val="1"/>
                <w:color w:val="auto"/>
              </w:rPr>
            </w:pPr>
          </w:p>
        </w:tc>
      </w:tr>
      <w:tr>
        <w:trPr>
          <w:trHeight w:val="161"/>
        </w:trPr>
        <w:tc>
          <w:tcPr>
            <w:tcW w:w="32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Conversion of Series A Preferred Shares to</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5,859,375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38,788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37,500</w:t>
            </w:r>
          </w:p>
        </w:tc>
        <w:tc>
          <w:tcPr>
            <w:tcW w:w="0" w:type="dxa"/>
            <w:vAlign w:val="bottom"/>
          </w:tcPr>
          <w:p>
            <w:pPr>
              <w:spacing w:after="0"/>
              <w:rPr>
                <w:sz w:val="1"/>
                <w:szCs w:val="1"/>
                <w:color w:val="auto"/>
              </w:rPr>
            </w:pPr>
          </w:p>
        </w:tc>
      </w:tr>
      <w:tr>
        <w:trPr>
          <w:trHeight w:val="212"/>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shares (Notes 12 and 13)</w:t>
            </w: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2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Extinguishment of Series A Preferred Shares -</w:t>
            </w: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(25,717)</w:t>
            </w:r>
          </w:p>
        </w:tc>
        <w:tc>
          <w:tcPr>
            <w:tcW w:w="0" w:type="dxa"/>
            <w:vAlign w:val="bottom"/>
          </w:tcPr>
          <w:p>
            <w:pPr>
              <w:spacing w:after="0"/>
              <w:rPr>
                <w:sz w:val="1"/>
                <w:szCs w:val="1"/>
                <w:color w:val="auto"/>
              </w:rPr>
            </w:pPr>
          </w:p>
        </w:tc>
      </w:tr>
      <w:tr>
        <w:trPr>
          <w:trHeight w:val="215"/>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deemed dividend (Note 12)</w:t>
            </w:r>
          </w:p>
        </w:tc>
        <w:tc>
          <w:tcPr>
            <w:tcW w:w="12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Enstar common share investment (Note 13)</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1,953,125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0" w:type="dxa"/>
            <w:vAlign w:val="bottom"/>
          </w:tcPr>
          <w:p>
            <w:pPr>
              <w:spacing w:after="0"/>
              <w:rPr>
                <w:sz w:val="1"/>
                <w:szCs w:val="1"/>
                <w:color w:val="auto"/>
              </w:rPr>
            </w:pPr>
          </w:p>
        </w:tc>
      </w:tr>
      <w:tr>
        <w:trPr>
          <w:trHeight w:val="21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RSUs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0" w:type="dxa"/>
            <w:vAlign w:val="bottom"/>
          </w:tcPr>
          <w:p>
            <w:pPr>
              <w:spacing w:after="0"/>
              <w:rPr>
                <w:sz w:val="1"/>
                <w:szCs w:val="1"/>
                <w:color w:val="auto"/>
              </w:rPr>
            </w:pPr>
          </w:p>
        </w:tc>
      </w:tr>
      <w:tr>
        <w:trPr>
          <w:trHeight w:val="161"/>
        </w:trPr>
        <w:tc>
          <w:tcPr>
            <w:tcW w:w="32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Compensation expense under share incentive</w:t>
            </w: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6,631</w:t>
            </w:r>
          </w:p>
        </w:tc>
        <w:tc>
          <w:tcPr>
            <w:tcW w:w="0" w:type="dxa"/>
            <w:vAlign w:val="bottom"/>
          </w:tcPr>
          <w:p>
            <w:pPr>
              <w:spacing w:after="0"/>
              <w:rPr>
                <w:sz w:val="1"/>
                <w:szCs w:val="1"/>
                <w:color w:val="auto"/>
              </w:rPr>
            </w:pPr>
          </w:p>
        </w:tc>
      </w:tr>
      <w:tr>
        <w:trPr>
          <w:trHeight w:val="212"/>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plans</w:t>
            </w: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Series A preferred shares</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(10,143)</w:t>
            </w:r>
          </w:p>
        </w:tc>
        <w:tc>
          <w:tcPr>
            <w:tcW w:w="0" w:type="dxa"/>
            <w:vAlign w:val="bottom"/>
          </w:tcPr>
          <w:p>
            <w:pPr>
              <w:spacing w:after="0"/>
              <w:rPr>
                <w:sz w:val="1"/>
                <w:szCs w:val="1"/>
                <w:color w:val="auto"/>
              </w:rPr>
            </w:pPr>
          </w:p>
        </w:tc>
      </w:tr>
      <w:tr>
        <w:trPr>
          <w:trHeight w:val="212"/>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common shares</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(6,234)</w:t>
            </w:r>
          </w:p>
        </w:tc>
        <w:tc>
          <w:tcPr>
            <w:tcW w:w="0" w:type="dxa"/>
            <w:vAlign w:val="bottom"/>
          </w:tcPr>
          <w:p>
            <w:pPr>
              <w:spacing w:after="0"/>
              <w:rPr>
                <w:sz w:val="1"/>
                <w:szCs w:val="1"/>
                <w:color w:val="auto"/>
              </w:rPr>
            </w:pPr>
          </w:p>
        </w:tc>
      </w:tr>
      <w:tr>
        <w:trPr>
          <w:trHeight w:val="236"/>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45,644,318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933,311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460,915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3"/>
        </w:trPr>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i w:val="1"/>
                <w:iCs w:val="1"/>
                <w:color w:val="auto"/>
                <w:w w:val="97"/>
              </w:rPr>
              <w:t>(in thousands)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8"/>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(81,120)</w:t>
            </w:r>
          </w:p>
        </w:tc>
        <w:tc>
          <w:tcPr>
            <w:tcW w:w="3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(107,684)</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30,973</w:t>
            </w:r>
          </w:p>
        </w:tc>
      </w:tr>
      <w:tr>
        <w:trPr>
          <w:trHeight w:val="194"/>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income to net cash (used in) provided by operating activities: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policy acquisition costs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(65,580)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(73,333)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(79,648)</w:t>
            </w:r>
          </w:p>
        </w:tc>
      </w:tr>
      <w:tr>
        <w:trPr>
          <w:trHeight w:val="194"/>
        </w:trPr>
        <w:tc>
          <w:tcPr>
            <w:tcW w:w="6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policy acquisition costs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69,261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96,453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88,571</w:t>
            </w:r>
          </w:p>
        </w:tc>
      </w:tr>
      <w:tr>
        <w:trPr>
          <w:trHeight w:val="21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realized and unrealized losses on investments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43,251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28,318</w:t>
            </w:r>
          </w:p>
        </w:tc>
      </w:tr>
      <w:tr>
        <w:trPr>
          <w:trHeight w:val="194"/>
        </w:trPr>
        <w:tc>
          <w:tcPr>
            <w:tcW w:w="6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from equity method investments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4,364</w:t>
            </w:r>
          </w:p>
        </w:tc>
      </w:tr>
      <w:tr>
        <w:trPr>
          <w:trHeight w:val="194"/>
        </w:trPr>
        <w:tc>
          <w:tcPr>
            <w:tcW w:w="6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from equity method investments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(4,133)</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w:t>
            </w:r>
          </w:p>
        </w:tc>
      </w:tr>
      <w:tr>
        <w:trPr>
          <w:trHeight w:val="21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disposal of discontinued operations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80,400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6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U.S. federal income tax benefit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(11,205)</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4,627</w:t>
            </w:r>
          </w:p>
        </w:tc>
      </w:tr>
      <w:tr>
        <w:trPr>
          <w:trHeight w:val="21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depreciation and amortization</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r>
      <w:tr>
        <w:trPr>
          <w:trHeight w:val="194"/>
        </w:trPr>
        <w:tc>
          <w:tcPr>
            <w:tcW w:w="6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 based compensation expense</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8,122</w:t>
            </w:r>
          </w:p>
        </w:tc>
      </w:tr>
      <w:tr>
        <w:trPr>
          <w:trHeight w:val="21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Excess tax benefits from equity incentive plan transactions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r>
      <w:tr>
        <w:trPr>
          <w:trHeight w:val="194"/>
        </w:trPr>
        <w:tc>
          <w:tcPr>
            <w:tcW w:w="6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Reserve for losses and loss adjustment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453,149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278,778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20,522</w:t>
            </w:r>
          </w:p>
        </w:tc>
      </w:tr>
      <w:tr>
        <w:trPr>
          <w:trHeight w:val="194"/>
        </w:trPr>
        <w:tc>
          <w:tcPr>
            <w:tcW w:w="6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Unearned premiums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(24,237)</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(70,894)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(51,536)</w:t>
            </w:r>
          </w:p>
        </w:tc>
      </w:tr>
      <w:tr>
        <w:trPr>
          <w:trHeight w:val="21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Premiums receivable and agents’ balances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53,442</w:t>
            </w:r>
          </w:p>
        </w:tc>
      </w:tr>
      <w:tr>
        <w:trPr>
          <w:trHeight w:val="194"/>
        </w:trPr>
        <w:tc>
          <w:tcPr>
            <w:tcW w:w="6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Reinsurance balances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(552,549)</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(66,274)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96,310</w:t>
            </w:r>
          </w:p>
        </w:tc>
      </w:tr>
      <w:tr>
        <w:trPr>
          <w:trHeight w:val="21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Funds held</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(66,942)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(107,922)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(60,900)</w:t>
            </w:r>
          </w:p>
        </w:tc>
      </w:tr>
      <w:tr>
        <w:trPr>
          <w:trHeight w:val="194"/>
        </w:trPr>
        <w:tc>
          <w:tcPr>
            <w:tcW w:w="6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Payable to insurance companies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(3,385)</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(2,770)</w:t>
            </w:r>
          </w:p>
        </w:tc>
      </w:tr>
      <w:tr>
        <w:trPr>
          <w:trHeight w:val="21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(10,325)</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83,219</w:t>
            </w:r>
          </w:p>
        </w:tc>
      </w:tr>
      <w:tr>
        <w:trPr>
          <w:trHeight w:val="18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operating activities (a)</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(247,085)</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87,953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222,734</w:t>
            </w:r>
          </w:p>
        </w:tc>
      </w:tr>
      <w:tr>
        <w:trPr>
          <w:trHeight w:val="21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4"/>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 of JRG Re</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96,412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4"/>
        </w:trPr>
        <w:tc>
          <w:tcPr>
            <w:tcW w:w="6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(178,818)</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(197,360)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(709,576)</w:t>
            </w:r>
          </w:p>
        </w:tc>
      </w:tr>
      <w:tr>
        <w:trPr>
          <w:trHeight w:val="21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200,178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34,537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206,872</w:t>
            </w:r>
          </w:p>
        </w:tc>
      </w:tr>
      <w:tr>
        <w:trPr>
          <w:trHeight w:val="194"/>
        </w:trPr>
        <w:tc>
          <w:tcPr>
            <w:tcW w:w="6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Maturities and calls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162,472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139,867</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174,725</w:t>
            </w:r>
          </w:p>
        </w:tc>
      </w:tr>
      <w:tr>
        <w:trPr>
          <w:trHeight w:val="21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4"/>
        </w:trPr>
        <w:tc>
          <w:tcPr>
            <w:tcW w:w="6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(11,319)</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(38,801)</w:t>
            </w:r>
          </w:p>
        </w:tc>
      </w:tr>
      <w:tr>
        <w:trPr>
          <w:trHeight w:val="21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56,852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17,214</w:t>
            </w:r>
          </w:p>
        </w:tc>
      </w:tr>
      <w:tr>
        <w:trPr>
          <w:trHeight w:val="194"/>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Bank loan participations: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(72,580)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(89,450)</w:t>
            </w:r>
          </w:p>
        </w:tc>
      </w:tr>
      <w:tr>
        <w:trPr>
          <w:trHeight w:val="194"/>
        </w:trPr>
        <w:tc>
          <w:tcPr>
            <w:tcW w:w="6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83,564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52,016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52,042</w:t>
            </w:r>
          </w:p>
        </w:tc>
      </w:tr>
      <w:tr>
        <w:trPr>
          <w:trHeight w:val="21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Maturities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22,417</w:t>
            </w:r>
          </w:p>
        </w:tc>
      </w:tr>
      <w:tr>
        <w:trPr>
          <w:trHeight w:val="194"/>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194"/>
        </w:trPr>
        <w:tc>
          <w:tcPr>
            <w:tcW w:w="6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Return of capital</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20,170</w:t>
            </w:r>
          </w:p>
        </w:tc>
      </w:tr>
      <w:tr>
        <w:trPr>
          <w:trHeight w:val="21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sales and repayments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2,535</w:t>
            </w:r>
          </w:p>
        </w:tc>
      </w:tr>
      <w:tr>
        <w:trPr>
          <w:trHeight w:val="194"/>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receivable or payable, net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(6,684)</w:t>
            </w:r>
          </w:p>
        </w:tc>
      </w:tr>
      <w:tr>
        <w:trPr>
          <w:trHeight w:val="21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investments, net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35,675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28,751</w:t>
            </w:r>
          </w:p>
        </w:tc>
      </w:tr>
      <w:tr>
        <w:trPr>
          <w:trHeight w:val="195"/>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(4,890)</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(6,434)</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(8,219)</w:t>
            </w:r>
          </w:p>
        </w:tc>
      </w:tr>
      <w:tr>
        <w:trPr>
          <w:trHeight w:val="20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307,032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16,732</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(328,154)</w:t>
            </w:r>
          </w:p>
        </w:tc>
      </w:tr>
      <w:tr>
        <w:trPr>
          <w:trHeight w:val="19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debt repayments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r>
      <w:tr>
        <w:trPr>
          <w:trHeight w:val="194"/>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Series A preferred shares (Note 12)</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144,898</w:t>
            </w:r>
          </w:p>
        </w:tc>
      </w:tr>
      <w:tr>
        <w:trPr>
          <w:trHeight w:val="21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Enstar common share investment (Note 13)</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Payroll taxes withheld and remitted on net settlement of RSUs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w:t>
            </w:r>
          </w:p>
        </w:tc>
      </w:tr>
      <w:tr>
        <w:trPr>
          <w:trHeight w:val="21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Series A preferred shares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(6,125)</w:t>
            </w:r>
          </w:p>
        </w:tc>
      </w:tr>
      <w:tr>
        <w:trPr>
          <w:trHeight w:val="194"/>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on common shares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(7,798)</w:t>
            </w:r>
          </w:p>
        </w:tc>
      </w:tr>
      <w:tr>
        <w:trPr>
          <w:trHeight w:val="21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(28,846)</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(21,115)</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89,671</w:t>
            </w:r>
          </w:p>
        </w:tc>
      </w:tr>
      <w:tr>
        <w:trPr>
          <w:trHeight w:val="20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cash, cash equivalents, and restricted cash equivalents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83,570</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(15,749)</w:t>
            </w:r>
          </w:p>
        </w:tc>
      </w:tr>
      <w:tr>
        <w:trPr>
          <w:trHeight w:val="195"/>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equivalents at beginning of year</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359,949</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276,379</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292,128</w:t>
            </w:r>
          </w:p>
        </w:tc>
      </w:tr>
      <w:tr>
        <w:trPr>
          <w:trHeight w:val="22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equivalents at end of year</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391,050</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359,949</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276,379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JAMES RIVER GROUP HOLDINGS, LTD. AND SUBSIDIARIES</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ectPr>
          <w:pgSz w:w="11900" w:h="16838" w:orient="portrait"/>
          <w:cols w:equalWidth="0" w:num="1">
            <w:col w:w="11220"/>
          </w:cols>
          <w:pgMar w:left="320" w:top="121" w:right="359"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6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8"/>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information</w:t>
            </w: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2"/>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 income taxes paid (refunded), net</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25,104</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45,330</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(3,470)</w:t>
            </w:r>
          </w:p>
        </w:tc>
      </w:tr>
      <w:tr>
        <w:trPr>
          <w:trHeight w:val="20"/>
        </w:trPr>
        <w:tc>
          <w:tcPr>
            <w:tcW w:w="6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5"/>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28,740</w:t>
            </w:r>
          </w:p>
        </w:tc>
        <w:tc>
          <w:tcPr>
            <w:tcW w:w="16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30,697</w:t>
            </w:r>
          </w:p>
        </w:tc>
        <w:tc>
          <w:tcPr>
            <w:tcW w:w="16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17,425</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8"/>
        </w:trPr>
        <w:tc>
          <w:tcPr>
            <w:tcW w:w="66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4"/>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equivalents at beginning of year</w:t>
            </w:r>
          </w:p>
        </w:tc>
        <w:tc>
          <w:tcPr>
            <w:tcW w:w="9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72,449</w:t>
            </w:r>
          </w:p>
        </w:tc>
        <w:tc>
          <w:tcPr>
            <w:tcW w:w="3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103,215</w:t>
            </w:r>
          </w:p>
        </w:tc>
        <w:tc>
          <w:tcPr>
            <w:tcW w:w="16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102,005</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 equivalents at end of year</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28,705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72,449</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103,215</w:t>
            </w:r>
          </w:p>
        </w:tc>
      </w:tr>
      <w:tr>
        <w:trPr>
          <w:trHeight w:val="195"/>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restricted cash equivalents</w:t>
            </w:r>
          </w:p>
        </w:tc>
        <w:tc>
          <w:tcPr>
            <w:tcW w:w="90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(43,744)</w:t>
            </w:r>
          </w:p>
        </w:tc>
        <w:tc>
          <w:tcPr>
            <w:tcW w:w="16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(30,766)</w:t>
            </w:r>
          </w:p>
        </w:tc>
        <w:tc>
          <w:tcPr>
            <w:tcW w:w="16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1,210</w:t>
            </w: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right="40" w:firstLine="7"/>
        <w:spacing w:after="0" w:line="270" w:lineRule="auto"/>
        <w:tabs>
          <w:tab w:leader="none" w:pos="24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Cash (used in) provided by operating activities for the years ended December 31, 2024, 2023, and 2022 reflects the activity in restricted cash equivalents above. As permitted under the agreements establishing the Indemnity Trust and the LPT Trust, we have withdrawn collateral from the Indemnity Trust and the LPT Trust to fund the Loss Fund Trust as required under the Administrative Services Agreement. Amounts on deposit in the Loss Fund Trust are included in restricted cash equivalents on the Company's consolidated balance sheets. See “Item 7. Management’s Discussion and Analysis of Financial Condition and Results of Operations – </w:t>
      </w:r>
      <w:r>
        <w:rPr>
          <w:rFonts w:ascii="Times New Roman" w:cs="Times New Roman" w:eastAsia="Times New Roman" w:hAnsi="Times New Roman"/>
          <w:sz w:val="17"/>
          <w:szCs w:val="17"/>
          <w:i w:val="1"/>
          <w:iCs w:val="1"/>
          <w:color w:val="auto"/>
        </w:rPr>
        <w:t>Amounts Recoverable from an Indemnifying Party and Reinsurer on Legacy Commercial Auto Book</w:t>
      </w:r>
      <w:r>
        <w:rPr>
          <w:rFonts w:ascii="Times New Roman" w:cs="Times New Roman" w:eastAsia="Times New Roman" w:hAnsi="Times New Roman"/>
          <w:sz w:val="17"/>
          <w:szCs w:val="17"/>
          <w:color w:val="auto"/>
        </w:rPr>
        <w:t>”. Excluding the restricted cash activity above, cash (used in) provided by operating activities was $(203.3) million, $118.7 million, and $221.5 million for the years ended December 31, 2024, 2023, and 2022, respectively. The $203.3 million of cash used in operating activities for the year ended December 31, 2024 primarily reflects the $313.2 million and $52.8 million of reinsurance premium paid in 2024 related to the E&amp;S ADC and E&amp;S Top Up ADC (See Note 8).</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5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9440" w:firstLine="7"/>
        <w:spacing w:after="0" w:line="376" w:lineRule="auto"/>
        <w:tabs>
          <w:tab w:leader="none" w:pos="30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Policies Organization</w:t>
      </w:r>
    </w:p>
    <w:p>
      <w:pPr>
        <w:ind w:firstLine="363"/>
        <w:spacing w:after="0" w:line="280" w:lineRule="auto"/>
        <w:rPr>
          <w:sz w:val="20"/>
          <w:szCs w:val="20"/>
          <w:color w:val="auto"/>
        </w:rPr>
      </w:pPr>
      <w:r>
        <w:rPr>
          <w:rFonts w:ascii="Times New Roman" w:cs="Times New Roman" w:eastAsia="Times New Roman" w:hAnsi="Times New Roman"/>
          <w:sz w:val="18"/>
          <w:szCs w:val="18"/>
          <w:color w:val="auto"/>
        </w:rPr>
        <w:t>James River Group Holdings, Ltd. (referred to as “JRG Holdings” or, with its subsidiaries, the “Company”) is an exempted holding company registered in Bermuda, organized for the purpose of acquiring and managing insurance entities.</w:t>
      </w:r>
    </w:p>
    <w:p>
      <w:pPr>
        <w:spacing w:after="0" w:line="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owns five insurance companies based in the United States (“U.S.”) focused on specialty insurance niches as described below:</w:t>
      </w:r>
    </w:p>
    <w:p>
      <w:pPr>
        <w:spacing w:after="0" w:line="115" w:lineRule="exact"/>
        <w:rPr>
          <w:sz w:val="20"/>
          <w:szCs w:val="20"/>
          <w:color w:val="auto"/>
        </w:rPr>
      </w:pPr>
    </w:p>
    <w:p>
      <w:pPr>
        <w:ind w:left="660" w:right="200" w:hanging="330"/>
        <w:spacing w:after="0" w:line="310" w:lineRule="auto"/>
        <w:tabs>
          <w:tab w:leader="none" w:pos="579"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James River Group Holdings UK Limited (“James River UK”) is an insurance holding company formed in 2015 in the United Kingdom (“U.K.”). The Company contributed James River Group, Inc. (“James River Group”), a U.S. insurance holding company, to James River UK in 2015.</w:t>
      </w:r>
    </w:p>
    <w:p>
      <w:pPr>
        <w:spacing w:after="0" w:line="32" w:lineRule="exact"/>
        <w:rPr>
          <w:rFonts w:ascii="Times New Roman" w:cs="Times New Roman" w:eastAsia="Times New Roman" w:hAnsi="Times New Roman"/>
          <w:sz w:val="17"/>
          <w:szCs w:val="17"/>
          <w:color w:val="auto"/>
        </w:rPr>
      </w:pPr>
    </w:p>
    <w:p>
      <w:pPr>
        <w:ind w:left="660" w:right="80" w:hanging="330"/>
        <w:spacing w:after="0" w:line="264" w:lineRule="auto"/>
        <w:tabs>
          <w:tab w:leader="none" w:pos="57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spacing w:after="0" w:line="69" w:lineRule="exact"/>
        <w:rPr>
          <w:rFonts w:ascii="Times New Roman" w:cs="Times New Roman" w:eastAsia="Times New Roman" w:hAnsi="Times New Roman"/>
          <w:sz w:val="18"/>
          <w:szCs w:val="18"/>
          <w:color w:val="auto"/>
        </w:rPr>
      </w:pPr>
    </w:p>
    <w:p>
      <w:pPr>
        <w:ind w:left="660" w:right="80" w:hanging="330"/>
        <w:spacing w:after="0" w:line="280" w:lineRule="auto"/>
        <w:tabs>
          <w:tab w:leader="none" w:pos="57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River Insurance Company (“James River Insurance”) is an Ohio domiciled excess and surplus lines insurance company that, with its wholly-owned insurance subsidiary, James River Casualty Company, is authorized to write business in every state and the District of Columbia.</w:t>
      </w:r>
    </w:p>
    <w:p>
      <w:pPr>
        <w:spacing w:after="0" w:line="54" w:lineRule="exact"/>
        <w:rPr>
          <w:rFonts w:ascii="Times New Roman" w:cs="Times New Roman" w:eastAsia="Times New Roman" w:hAnsi="Times New Roman"/>
          <w:sz w:val="18"/>
          <w:szCs w:val="18"/>
          <w:color w:val="auto"/>
        </w:rPr>
      </w:pPr>
    </w:p>
    <w:p>
      <w:pPr>
        <w:ind w:left="660" w:right="20" w:hanging="330"/>
        <w:spacing w:after="0" w:line="287" w:lineRule="auto"/>
        <w:tabs>
          <w:tab w:leader="none" w:pos="579"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Falls Lake National Insurance Company (“Falls Lake National”) is an Ohio domiciled insurance company which wholly owns Stonewood Insurance Company (“Stonewood Insurance”), an Ohio domiciled company, and Falls Lake Fire and Casualty Company, a California domiciled company. Falls Lake National primarily writes specialty admitted fronting and program business and individual risk workers' compensation insurance.</w:t>
      </w:r>
    </w:p>
    <w:p>
      <w:pPr>
        <w:spacing w:after="0" w:line="51" w:lineRule="exact"/>
        <w:rPr>
          <w:sz w:val="20"/>
          <w:szCs w:val="20"/>
          <w:color w:val="auto"/>
        </w:rPr>
      </w:pPr>
    </w:p>
    <w:p>
      <w:pPr>
        <w:ind w:right="180" w:firstLine="363"/>
        <w:spacing w:after="0" w:line="256" w:lineRule="auto"/>
        <w:rPr>
          <w:sz w:val="20"/>
          <w:szCs w:val="20"/>
          <w:color w:val="auto"/>
        </w:rPr>
      </w:pPr>
      <w:r>
        <w:rPr>
          <w:rFonts w:ascii="Times New Roman" w:cs="Times New Roman" w:eastAsia="Times New Roman" w:hAnsi="Times New Roman"/>
          <w:sz w:val="18"/>
          <w:szCs w:val="18"/>
          <w:color w:val="auto"/>
        </w:rPr>
        <w:t>The Company previously owned JRG Reinsurance Company Ltd. (“JRG Re”), a Bermuda domiciled reinsurer, which comprised the former Casualty Reinsurance segment, and which, prior to the suspension of its underwriting activities in 2023, primarily provided non-catastrophe casualty reinsurance to U.S. third parties. On November 8, 2023, the Company entered into an agreement to sell JRG Re. The sale closed on April 16, 2024 and resulted in the Company’s disposition of its casualty reinsurance business and related assets. See Held-for-Sale and Discontinued Operations below and Note 2 for additional disclosure.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19" w:lineRule="exact"/>
        <w:rPr>
          <w:sz w:val="20"/>
          <w:szCs w:val="20"/>
          <w:color w:val="auto"/>
        </w:rPr>
      </w:pPr>
    </w:p>
    <w:p>
      <w:pPr>
        <w:ind w:right="200" w:firstLine="363"/>
        <w:spacing w:after="0" w:line="259"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U.S. generally accepted accounting principles (“GAAP”), which vary in some respects from statutory accounting practices (“SAP”) which are prescribed or permitted by the various state insurance departments in the U.S. or by insurance regulators in Bermuda. The accompanying consolidated financial statements include the accounts and operations of the Company and its subsidiaries. Intercompany transactions and balances have been eliminated.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Held-for-Sale and Discontinued Operations</w:t>
      </w:r>
    </w:p>
    <w:p>
      <w:pPr>
        <w:spacing w:after="0" w:line="119" w:lineRule="exact"/>
        <w:rPr>
          <w:sz w:val="20"/>
          <w:szCs w:val="20"/>
          <w:color w:val="auto"/>
        </w:rPr>
      </w:pPr>
    </w:p>
    <w:p>
      <w:pPr>
        <w:ind w:right="60" w:firstLine="363"/>
        <w:spacing w:after="0" w:line="256" w:lineRule="auto"/>
        <w:rPr>
          <w:sz w:val="20"/>
          <w:szCs w:val="20"/>
          <w:color w:val="auto"/>
        </w:rPr>
      </w:pPr>
      <w:r>
        <w:rPr>
          <w:rFonts w:ascii="Times New Roman" w:cs="Times New Roman" w:eastAsia="Times New Roman" w:hAnsi="Times New Roman"/>
          <w:sz w:val="18"/>
          <w:szCs w:val="18"/>
          <w:color w:val="auto"/>
        </w:rPr>
        <w:t>The results of operations of a component of the Company are reported in discontinued operations when certain criteria are met as of the date of disposal, or earlier if classified as held-for-sale. The Company has determined that the definitive agreement to sell JRG Re met the criteria for JRG Re to be classified as held for sale and that the sale represented a strategic shift that will have a major effect on the Company's operations. Accordingly, the results of JRG Re's operations have been presented as discontinued operations, and the assets and liabilities of JRG Re have been classified as held-for-sale and segregated for all periods presented in this Annual Report on Form 10-K. See Note 2 for additional disclosure.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 and Assumptions</w:t>
      </w:r>
    </w:p>
    <w:p>
      <w:pPr>
        <w:spacing w:after="0" w:line="119" w:lineRule="exact"/>
        <w:rPr>
          <w:sz w:val="20"/>
          <w:szCs w:val="20"/>
          <w:color w:val="auto"/>
        </w:rPr>
      </w:pPr>
    </w:p>
    <w:p>
      <w:pPr>
        <w:ind w:right="80" w:firstLine="363"/>
        <w:spacing w:after="0" w:line="264" w:lineRule="auto"/>
        <w:rPr>
          <w:sz w:val="20"/>
          <w:szCs w:val="20"/>
          <w:color w:val="auto"/>
        </w:rPr>
      </w:pPr>
      <w:r>
        <w:rPr>
          <w:rFonts w:ascii="Times New Roman" w:cs="Times New Roman" w:eastAsia="Times New Roman" w:hAnsi="Times New Roman"/>
          <w:sz w:val="18"/>
          <w:szCs w:val="18"/>
          <w:color w:val="auto"/>
        </w:rPr>
        <w:t>Preparation of the consolidated financial statements in conformity with GAAP requires management to make estimates and assumptions that affect the amounts reported in the consolidated financial statements and accompanying disclosures. Those estimates are inherently subject to change, and actual results may ultimately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Maturity and Equity Securities</w:t>
      </w:r>
    </w:p>
    <w:p>
      <w:pPr>
        <w:spacing w:after="0" w:line="119" w:lineRule="exact"/>
        <w:rPr>
          <w:sz w:val="20"/>
          <w:szCs w:val="20"/>
          <w:color w:val="auto"/>
        </w:rPr>
      </w:pPr>
    </w:p>
    <w:p>
      <w:pPr>
        <w:ind w:right="120" w:firstLine="363"/>
        <w:spacing w:after="0" w:line="264" w:lineRule="auto"/>
        <w:rPr>
          <w:sz w:val="20"/>
          <w:szCs w:val="20"/>
          <w:color w:val="auto"/>
        </w:rPr>
      </w:pPr>
      <w:r>
        <w:rPr>
          <w:rFonts w:ascii="Times New Roman" w:cs="Times New Roman" w:eastAsia="Times New Roman" w:hAnsi="Times New Roman"/>
          <w:sz w:val="18"/>
          <w:szCs w:val="18"/>
          <w:color w:val="auto"/>
        </w:rPr>
        <w:t>Fixed maturity securities classified as “available-for-sale” are carried at fair value, and unrealized gains and losses on such securities, net of any deferred taxes, are reported as a separate component of accumulated other comprehensive income. The Company does not have any securities classified as “held-to-maturity” or “trading”.</w:t>
      </w:r>
    </w:p>
    <w:p>
      <w:pPr>
        <w:spacing w:after="0" w:line="69" w:lineRule="exact"/>
        <w:rPr>
          <w:sz w:val="20"/>
          <w:szCs w:val="20"/>
          <w:color w:val="auto"/>
        </w:rPr>
      </w:pPr>
    </w:p>
    <w:p>
      <w:pPr>
        <w:ind w:right="40" w:firstLine="363"/>
        <w:spacing w:after="0" w:line="280" w:lineRule="auto"/>
        <w:rPr>
          <w:sz w:val="20"/>
          <w:szCs w:val="20"/>
          <w:color w:val="auto"/>
        </w:rPr>
      </w:pPr>
      <w:r>
        <w:rPr>
          <w:rFonts w:ascii="Times New Roman" w:cs="Times New Roman" w:eastAsia="Times New Roman" w:hAnsi="Times New Roman"/>
          <w:sz w:val="18"/>
          <w:szCs w:val="18"/>
          <w:color w:val="auto"/>
        </w:rPr>
        <w:t>Fair value generally represents quoted market value prices for securities traded in the public marketplace or prices analytically determined using bid or closing prices for securities not traded in the public marketplace.</w:t>
      </w:r>
    </w:p>
    <w:p>
      <w:pPr>
        <w:spacing w:after="0" w:line="55" w:lineRule="exact"/>
        <w:rPr>
          <w:sz w:val="20"/>
          <w:szCs w:val="20"/>
          <w:color w:val="auto"/>
        </w:rPr>
      </w:pPr>
    </w:p>
    <w:p>
      <w:pPr>
        <w:ind w:right="40" w:firstLine="363"/>
        <w:spacing w:after="0" w:line="264" w:lineRule="auto"/>
        <w:rPr>
          <w:sz w:val="20"/>
          <w:szCs w:val="20"/>
          <w:color w:val="auto"/>
        </w:rPr>
      </w:pPr>
      <w:r>
        <w:rPr>
          <w:rFonts w:ascii="Times New Roman" w:cs="Times New Roman" w:eastAsia="Times New Roman" w:hAnsi="Times New Roman"/>
          <w:sz w:val="18"/>
          <w:szCs w:val="18"/>
          <w:color w:val="auto"/>
        </w:rPr>
        <w:t>Premiums and discounts on mortgage-backed securities and asset-backed securities are amortized or accrued using the constant yield method which considers anticipated prepayments at the date of purchase. To the extent that the estimated lives of such securities change as a result of changes in estimated prepayment rates, the adjustments are included in net investment income using the retrospective method.</w:t>
      </w:r>
    </w:p>
    <w:p>
      <w:pPr>
        <w:spacing w:after="0" w:line="69" w:lineRule="exact"/>
        <w:rPr>
          <w:sz w:val="20"/>
          <w:szCs w:val="20"/>
          <w:color w:val="auto"/>
        </w:rPr>
      </w:pPr>
    </w:p>
    <w:p>
      <w:pPr>
        <w:ind w:right="180" w:firstLine="363"/>
        <w:spacing w:after="0" w:line="280" w:lineRule="auto"/>
        <w:rPr>
          <w:sz w:val="20"/>
          <w:szCs w:val="20"/>
          <w:color w:val="auto"/>
        </w:rPr>
      </w:pPr>
      <w:r>
        <w:rPr>
          <w:rFonts w:ascii="Times New Roman" w:cs="Times New Roman" w:eastAsia="Times New Roman" w:hAnsi="Times New Roman"/>
          <w:sz w:val="18"/>
          <w:szCs w:val="18"/>
          <w:color w:val="auto"/>
        </w:rPr>
        <w:t>Realized investment gains or losses are determined on a specific identification basis. Interest income is recognized as earned, and dividend income is recognized on the ex-dividend date.</w:t>
      </w:r>
    </w:p>
    <w:p>
      <w:pPr>
        <w:spacing w:after="0" w:line="55" w:lineRule="exact"/>
        <w:rPr>
          <w:sz w:val="20"/>
          <w:szCs w:val="20"/>
          <w:color w:val="auto"/>
        </w:rPr>
      </w:pPr>
    </w:p>
    <w:p>
      <w:pPr>
        <w:ind w:right="60" w:firstLine="363"/>
        <w:spacing w:after="0" w:line="259"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31F20"/>
        </w:rPr>
        <w:t>Company reviews its available-for-sale fixed maturities to determine whether any unrealized losses are due to credit-related factors. An allowance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for credit losses is established for any </w:t>
      </w:r>
      <w:r>
        <w:rPr>
          <w:rFonts w:ascii="Times New Roman" w:cs="Times New Roman" w:eastAsia="Times New Roman" w:hAnsi="Times New Roman"/>
          <w:sz w:val="18"/>
          <w:szCs w:val="18"/>
          <w:color w:val="000000"/>
        </w:rPr>
        <w:t>credit-related</w:t>
      </w:r>
      <w:r>
        <w:rPr>
          <w:rFonts w:ascii="Times New Roman" w:cs="Times New Roman" w:eastAsia="Times New Roman" w:hAnsi="Times New Roman"/>
          <w:sz w:val="18"/>
          <w:szCs w:val="18"/>
          <w:color w:val="231F20"/>
        </w:rPr>
        <w:t xml:space="preserve"> impairments, limited to the amount by which fair value is below amortized cost. Changes in the allowance for credit losses are recognized in earnings and included in n</w:t>
      </w:r>
      <w:r>
        <w:rPr>
          <w:rFonts w:ascii="Times New Roman" w:cs="Times New Roman" w:eastAsia="Times New Roman" w:hAnsi="Times New Roman"/>
          <w:sz w:val="18"/>
          <w:szCs w:val="18"/>
          <w:color w:val="000000"/>
        </w:rPr>
        <w:t>et realized and unrealized gains (losses) on investments</w:t>
      </w:r>
      <w:r>
        <w:rPr>
          <w:rFonts w:ascii="Times New Roman" w:cs="Times New Roman" w:eastAsia="Times New Roman" w:hAnsi="Times New Roman"/>
          <w:sz w:val="18"/>
          <w:szCs w:val="18"/>
          <w:color w:val="231F20"/>
        </w:rPr>
        <w:t>. Unrealized losses that are not credit-related are recognized in other comprehensive income.</w:t>
      </w:r>
    </w:p>
    <w:p>
      <w:pPr>
        <w:spacing w:after="0" w:line="74" w:lineRule="exact"/>
        <w:rPr>
          <w:sz w:val="20"/>
          <w:szCs w:val="20"/>
          <w:color w:val="auto"/>
        </w:rPr>
      </w:pPr>
    </w:p>
    <w:p>
      <w:pPr>
        <w:ind w:firstLine="363"/>
        <w:spacing w:after="0" w:line="256" w:lineRule="auto"/>
        <w:rPr>
          <w:sz w:val="20"/>
          <w:szCs w:val="20"/>
          <w:color w:val="auto"/>
        </w:rPr>
      </w:pPr>
      <w:r>
        <w:rPr>
          <w:rFonts w:ascii="Times New Roman" w:cs="Times New Roman" w:eastAsia="Times New Roman" w:hAnsi="Times New Roman"/>
          <w:sz w:val="18"/>
          <w:szCs w:val="18"/>
          <w:color w:val="auto"/>
        </w:rPr>
        <w:t>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Loan Participations</w:t>
      </w:r>
    </w:p>
    <w:p>
      <w:pPr>
        <w:spacing w:after="0" w:line="119" w:lineRule="exact"/>
        <w:rPr>
          <w:sz w:val="20"/>
          <w:szCs w:val="20"/>
          <w:color w:val="auto"/>
        </w:rPr>
      </w:pPr>
    </w:p>
    <w:p>
      <w:pPr>
        <w:ind w:right="40" w:firstLine="363"/>
        <w:spacing w:after="0" w:line="259" w:lineRule="auto"/>
        <w:rPr>
          <w:sz w:val="20"/>
          <w:szCs w:val="20"/>
          <w:color w:val="auto"/>
        </w:rPr>
      </w:pPr>
      <w:r>
        <w:rPr>
          <w:rFonts w:ascii="Times New Roman" w:cs="Times New Roman" w:eastAsia="Times New Roman" w:hAnsi="Times New Roman"/>
          <w:sz w:val="18"/>
          <w:szCs w:val="18"/>
          <w:color w:val="auto"/>
        </w:rPr>
        <w:t xml:space="preserve">Bank loan participations are managed by a specialized outside investment manager. </w:t>
      </w:r>
      <w:r>
        <w:rPr>
          <w:rFonts w:ascii="Times New Roman" w:cs="Times New Roman" w:eastAsia="Times New Roman" w:hAnsi="Times New Roman"/>
          <w:sz w:val="18"/>
          <w:szCs w:val="18"/>
          <w:color w:val="231F20"/>
        </w:rPr>
        <w:t>The Company has elected the fair value option to account for 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loan participations. Under the fair value option, bank loan participations are measured at fair value, and changes in unrealized gains and losses in bank loan participations are reported in our Consolidated Statements of (Loss) Income and Comprehensive Loss as net realized and unrealized gains (losses) on investments.</w:t>
      </w:r>
    </w:p>
    <w:p>
      <w:pPr>
        <w:spacing w:after="0" w:line="74" w:lineRule="exact"/>
        <w:rPr>
          <w:sz w:val="20"/>
          <w:szCs w:val="20"/>
          <w:color w:val="auto"/>
        </w:rPr>
      </w:pPr>
    </w:p>
    <w:p>
      <w:pPr>
        <w:jc w:val="both"/>
        <w:ind w:right="680" w:firstLine="363"/>
        <w:spacing w:after="0" w:line="264" w:lineRule="auto"/>
        <w:rPr>
          <w:sz w:val="20"/>
          <w:szCs w:val="20"/>
          <w:color w:val="auto"/>
        </w:rPr>
      </w:pPr>
      <w:r>
        <w:rPr>
          <w:rFonts w:ascii="Times New Roman" w:cs="Times New Roman" w:eastAsia="Times New Roman" w:hAnsi="Times New Roman"/>
          <w:sz w:val="18"/>
          <w:szCs w:val="18"/>
          <w:color w:val="231F20"/>
        </w:rPr>
        <w:t>Losses due to credit-related impairments on bank loan participations are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income is accrued on the unpaid principal balance. Discounts and premiums are amortized to income using the interest method.</w:t>
      </w:r>
    </w:p>
    <w:p>
      <w:pPr>
        <w:spacing w:after="0" w:line="115" w:lineRule="exact"/>
        <w:rPr>
          <w:sz w:val="20"/>
          <w:szCs w:val="20"/>
          <w:color w:val="auto"/>
        </w:rPr>
      </w:pPr>
    </w:p>
    <w:p>
      <w:pPr>
        <w:jc w:val="both"/>
        <w:ind w:firstLine="363"/>
        <w:spacing w:after="0" w:line="259" w:lineRule="auto"/>
        <w:rPr>
          <w:sz w:val="20"/>
          <w:szCs w:val="20"/>
          <w:color w:val="auto"/>
        </w:rPr>
      </w:pPr>
      <w:r>
        <w:rPr>
          <w:rFonts w:ascii="Times New Roman" w:cs="Times New Roman" w:eastAsia="Times New Roman" w:hAnsi="Times New Roman"/>
          <w:sz w:val="18"/>
          <w:szCs w:val="18"/>
          <w:color w:val="auto"/>
        </w:rPr>
        <w:t>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Interest received on nonaccrual loans generally is reported as investment income. There were no bank loans on nonaccrual status at December 31, 2024 or 2023.</w:t>
      </w:r>
    </w:p>
    <w:p>
      <w:pPr>
        <w:spacing w:after="0" w:line="74" w:lineRule="exact"/>
        <w:rPr>
          <w:sz w:val="20"/>
          <w:szCs w:val="20"/>
          <w:color w:val="auto"/>
        </w:rPr>
      </w:pPr>
    </w:p>
    <w:p>
      <w:pPr>
        <w:jc w:val="both"/>
        <w:ind w:right="700" w:firstLine="363"/>
        <w:spacing w:after="0" w:line="310" w:lineRule="auto"/>
        <w:rPr>
          <w:sz w:val="20"/>
          <w:szCs w:val="20"/>
          <w:color w:val="auto"/>
        </w:rPr>
      </w:pPr>
      <w:r>
        <w:rPr>
          <w:rFonts w:ascii="Times New Roman" w:cs="Times New Roman" w:eastAsia="Times New Roman" w:hAnsi="Times New Roman"/>
          <w:sz w:val="17"/>
          <w:szCs w:val="17"/>
          <w:color w:val="auto"/>
        </w:rPr>
        <w:t>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Invested Assets</w:t>
      </w:r>
    </w:p>
    <w:p>
      <w:pPr>
        <w:spacing w:after="0" w:line="119" w:lineRule="exact"/>
        <w:rPr>
          <w:sz w:val="20"/>
          <w:szCs w:val="20"/>
          <w:color w:val="auto"/>
        </w:rPr>
      </w:pPr>
    </w:p>
    <w:p>
      <w:pPr>
        <w:ind w:right="140" w:firstLine="363"/>
        <w:spacing w:after="0" w:line="259" w:lineRule="auto"/>
        <w:rPr>
          <w:sz w:val="20"/>
          <w:szCs w:val="20"/>
          <w:color w:val="auto"/>
        </w:rPr>
      </w:pPr>
      <w:r>
        <w:rPr>
          <w:rFonts w:ascii="Times New Roman" w:cs="Times New Roman" w:eastAsia="Times New Roman" w:hAnsi="Times New Roman"/>
          <w:sz w:val="18"/>
          <w:szCs w:val="18"/>
          <w:color w:val="auto"/>
        </w:rPr>
        <w:t>Other invested assets at December 31, 2024 and 2023 include the Company’s interests in private debt and equity investments. The investments are primarily focused in renewable energy, limited partnerships, and bank holding companies. Equity interests in various limited liability companies (“LLCs”) and limited partnerships are accounted for under the equity method, as the Company has determined that the equity method best reflects its economic interest in the underlying equity investment.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119" w:lineRule="exact"/>
        <w:rPr>
          <w:sz w:val="20"/>
          <w:szCs w:val="20"/>
          <w:color w:val="auto"/>
        </w:rPr>
      </w:pPr>
    </w:p>
    <w:p>
      <w:pPr>
        <w:ind w:right="60" w:firstLine="363"/>
        <w:spacing w:after="0" w:line="280" w:lineRule="auto"/>
        <w:rPr>
          <w:sz w:val="20"/>
          <w:szCs w:val="20"/>
          <w:color w:val="auto"/>
        </w:rPr>
      </w:pPr>
      <w:r>
        <w:rPr>
          <w:rFonts w:ascii="Times New Roman" w:cs="Times New Roman" w:eastAsia="Times New Roman" w:hAnsi="Times New Roman"/>
          <w:sz w:val="18"/>
          <w:szCs w:val="18"/>
          <w:color w:val="auto"/>
        </w:rPr>
        <w:t>Short-term investments are carried at amortized cost, which approximates fair value. Short-term investments have maturities greater than three months but less than one year at the date of purchase.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considers highly liquid investments with maturities of three months or less at the date of purchase to be cash equivalents.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 Equivalents</w:t>
      </w:r>
    </w:p>
    <w:p>
      <w:pPr>
        <w:spacing w:after="0" w:line="119" w:lineRule="exact"/>
        <w:rPr>
          <w:sz w:val="20"/>
          <w:szCs w:val="20"/>
          <w:color w:val="auto"/>
        </w:rPr>
      </w:pPr>
    </w:p>
    <w:p>
      <w:pPr>
        <w:jc w:val="both"/>
        <w:ind w:right="100" w:firstLine="363"/>
        <w:spacing w:after="0" w:line="264" w:lineRule="auto"/>
        <w:rPr>
          <w:sz w:val="20"/>
          <w:szCs w:val="20"/>
          <w:color w:val="auto"/>
        </w:rPr>
      </w:pPr>
      <w:r>
        <w:rPr>
          <w:rFonts w:ascii="Times New Roman" w:cs="Times New Roman" w:eastAsia="Times New Roman" w:hAnsi="Times New Roman"/>
          <w:sz w:val="18"/>
          <w:szCs w:val="18"/>
          <w:color w:val="auto"/>
        </w:rPr>
        <w:t>The Company considers highly liquid investments with maturities of three months or less at the date of purchase that are segregated for a specific use to be restricted cash equivalents. Certain restricted cash equivalents invested in funds with floating net asset values are measured at fair value with changes in fair value recognized in net income.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Written Premiums</w:t>
      </w:r>
    </w:p>
    <w:p>
      <w:pPr>
        <w:spacing w:after="0" w:line="119" w:lineRule="exact"/>
        <w:rPr>
          <w:sz w:val="20"/>
          <w:szCs w:val="20"/>
          <w:color w:val="auto"/>
        </w:rPr>
      </w:pPr>
    </w:p>
    <w:p>
      <w:pPr>
        <w:ind w:right="60" w:firstLine="363"/>
        <w:spacing w:after="0" w:line="264" w:lineRule="auto"/>
        <w:rPr>
          <w:sz w:val="20"/>
          <w:szCs w:val="20"/>
          <w:color w:val="auto"/>
        </w:rPr>
      </w:pPr>
      <w:r>
        <w:rPr>
          <w:rFonts w:ascii="Times New Roman" w:cs="Times New Roman" w:eastAsia="Times New Roman" w:hAnsi="Times New Roman"/>
          <w:sz w:val="18"/>
          <w:szCs w:val="18"/>
          <w:color w:val="auto"/>
        </w:rPr>
        <w:t>Direct written premiums are earned on a pro rata basis over the terms of the policies, generally 12 months. The portion of premiums written applicable to the unexpired terms of the policies in force is recorded as unearned premiums. Policies are accounted for on an individual basis, with no aggregation by counterparty.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Premiums Receivable and Agents’ Balances, Net</w:t>
      </w:r>
    </w:p>
    <w:p>
      <w:pPr>
        <w:spacing w:after="0" w:line="119" w:lineRule="exact"/>
        <w:rPr>
          <w:sz w:val="20"/>
          <w:szCs w:val="20"/>
          <w:color w:val="auto"/>
        </w:rPr>
      </w:pPr>
    </w:p>
    <w:p>
      <w:pPr>
        <w:ind w:firstLine="363"/>
        <w:spacing w:after="0" w:line="253" w:lineRule="auto"/>
        <w:rPr>
          <w:sz w:val="20"/>
          <w:szCs w:val="20"/>
          <w:color w:val="auto"/>
        </w:rPr>
      </w:pPr>
      <w:r>
        <w:rPr>
          <w:rFonts w:ascii="Times New Roman" w:cs="Times New Roman" w:eastAsia="Times New Roman" w:hAnsi="Times New Roman"/>
          <w:sz w:val="18"/>
          <w:szCs w:val="18"/>
          <w:color w:val="auto"/>
        </w:rPr>
        <w:t>Premiums receivable and agents’ balances are carried at face value net of any allowance for credit losses. The allowance for credit losses represents the current estimate of expected credit losses based on the Company’s assessment of the collectability of receivables that are past due, historical collection percentages, and consideration of current economic conditions and expectations of future conditions that could affect ultimate collections. Receivables greater than 90 days past due were $16.4 million and $11.5 million at December 31, 2024 and 2023, respectively. The allowance for credit losses was $22.3 million and $17.9 million at December 31, 2024 and 2023, respectively. Credit loss expense was $6.9 million for the year ended December 31, 2024, $2.8 million for the year ended December 31, 2023, and $1.1 million for the year ended December 31, 2022. Receivables written off against the allowance for credit losses totaled $2.5 million for the year ended December 31, 2024, $1.2 million for the year ended December 31, 2023, and $1.5 million for the year ended December 31, 2022. Account balances are charged off against the allowance after all means of collection have been exhausted and the potential for recovery is considered remote.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Policy Acquisition Costs</w:t>
      </w:r>
    </w:p>
    <w:p>
      <w:pPr>
        <w:spacing w:after="0" w:line="119" w:lineRule="exact"/>
        <w:rPr>
          <w:sz w:val="20"/>
          <w:szCs w:val="20"/>
          <w:color w:val="auto"/>
        </w:rPr>
      </w:pPr>
    </w:p>
    <w:p>
      <w:pPr>
        <w:ind w:right="80" w:firstLine="363"/>
        <w:spacing w:after="0" w:line="255" w:lineRule="auto"/>
        <w:rPr>
          <w:sz w:val="20"/>
          <w:szCs w:val="20"/>
          <w:color w:val="auto"/>
        </w:rPr>
      </w:pPr>
      <w:r>
        <w:rPr>
          <w:rFonts w:ascii="Times New Roman" w:cs="Times New Roman" w:eastAsia="Times New Roman" w:hAnsi="Times New Roman"/>
          <w:sz w:val="18"/>
          <w:szCs w:val="18"/>
          <w:color w:val="auto"/>
        </w:rPr>
        <w:t>Costs which are incrementally or directly related to the successful acquisition of new or renewal insurance business are deferred. These deferred costs are primarily commissions to agents, premium taxes, and the portion of underwriting fixed compensation and payroll related fringe benefits directly related to an insurance contract that has been acquired, net of ceding commissions related to reinsurance ceded. Amortization of such policy acquisition costs is charged to expense in proportion to premium earned over the estimated policy life. To the extent that unearned premiums on existing policies are not adequate to cover projected related costs and expenses, deferred policy acquisition costs are charged to earnings. The Company considers anticipated investment income in determining whether a premium deficiency exists.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 and Adjustable Features of Insurance and Reinsurance Contracts</w:t>
      </w:r>
    </w:p>
    <w:p>
      <w:pPr>
        <w:spacing w:after="0" w:line="119" w:lineRule="exact"/>
        <w:rPr>
          <w:sz w:val="20"/>
          <w:szCs w:val="20"/>
          <w:color w:val="auto"/>
        </w:rPr>
      </w:pPr>
    </w:p>
    <w:p>
      <w:pPr>
        <w:ind w:right="20" w:firstLine="363"/>
        <w:spacing w:after="0" w:line="264" w:lineRule="auto"/>
        <w:rPr>
          <w:sz w:val="20"/>
          <w:szCs w:val="20"/>
          <w:color w:val="auto"/>
        </w:rPr>
      </w:pPr>
      <w:r>
        <w:rPr>
          <w:rFonts w:ascii="Times New Roman" w:cs="Times New Roman" w:eastAsia="Times New Roman" w:hAnsi="Times New Roman"/>
          <w:sz w:val="18"/>
          <w:szCs w:val="18"/>
          <w:color w:val="auto"/>
        </w:rPr>
        <w:t>Certain premiums and losses are ceded to other insurance companies under various excess of loss and quota-share reinsurance contracts. The Company enters into ceded reinsurance contracts to limit its exposure to large losses, to limit exposure on new lines of insurance written by the Company, and to provide additional capacity for growth.</w:t>
      </w:r>
    </w:p>
    <w:p>
      <w:pPr>
        <w:spacing w:after="0" w:line="69" w:lineRule="exact"/>
        <w:rPr>
          <w:sz w:val="20"/>
          <w:szCs w:val="20"/>
          <w:color w:val="auto"/>
        </w:rPr>
      </w:pPr>
    </w:p>
    <w:p>
      <w:pPr>
        <w:ind w:right="20" w:firstLine="363"/>
        <w:spacing w:after="0" w:line="253" w:lineRule="auto"/>
        <w:rPr>
          <w:sz w:val="20"/>
          <w:szCs w:val="20"/>
          <w:color w:val="auto"/>
        </w:rPr>
      </w:pPr>
      <w:r>
        <w:rPr>
          <w:rFonts w:ascii="Times New Roman" w:cs="Times New Roman" w:eastAsia="Times New Roman" w:hAnsi="Times New Roman"/>
          <w:sz w:val="18"/>
          <w:szCs w:val="18"/>
          <w:color w:val="auto"/>
        </w:rPr>
        <w:t>Premiums, commissions, and losses and loss adjustment expenses on reinsured business are accounted for on a basis consistent with that used in accounting for the original policies issued and the terms of the reinsurance contracts. Reinsurance recoverables and prepaid reinsurance premiums are reported as assets. The Company uses a provision matrix to calculate the allowance for credit losses on reinsurance recoverables by applying impairment rates based on historical loss data to similarly rated reinsurance companies based on the expected duration of the receivables. The Company also considers the expected impact of current and future expected economic conditions and adjusts estimates if needed based on an evaluation of these factors. The allowance for credit losses on reinsurance recoverables at December 31, 2024 and 2023 was $1.2 million and $660,000, respectively. Other amounts payable to reinsurers or receivable from reinsurers are netted where the right of offset exists. The Company receives ceding commissions in connection with certain ceded reinsurance. The ceding commissions are recorded as a reduction of other operating expenses.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Certain reinsurance contracts include provisions that adjust premiums or acquisition expenses based upon the loss experience under the contracts.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Premiums written and earned, as well as related acquisition expenses are recorded based upon the projected loss experience under the contracts.</w:t>
      </w:r>
    </w:p>
    <w:p>
      <w:pPr>
        <w:spacing w:after="0" w:line="97" w:lineRule="exact"/>
        <w:rPr>
          <w:sz w:val="20"/>
          <w:szCs w:val="20"/>
          <w:color w:val="auto"/>
        </w:rPr>
      </w:pPr>
    </w:p>
    <w:p>
      <w:pPr>
        <w:ind w:right="20" w:firstLine="363"/>
        <w:spacing w:after="0" w:line="256" w:lineRule="auto"/>
        <w:rPr>
          <w:sz w:val="20"/>
          <w:szCs w:val="20"/>
          <w:color w:val="auto"/>
        </w:rPr>
      </w:pPr>
      <w:r>
        <w:rPr>
          <w:rFonts w:ascii="Times New Roman" w:cs="Times New Roman" w:eastAsia="Times New Roman" w:hAnsi="Times New Roman"/>
          <w:sz w:val="18"/>
          <w:szCs w:val="18"/>
          <w:color w:val="auto"/>
        </w:rPr>
        <w:t>The Company’s Specialty Admitted Insurance segment writes insurance under specialty admitted fronting and program arrangements. The fronting and program arrangements may contain contractual provisions that adjust acquisition expenses based upon loss experience under the contracts. The specialty admitted fronting and program arrangements are significantly reinsured. These reinsurance contracts may also contain provisions that adjust premiums or acquisition expenses based upon the loss experience under the contracts. Premiums written and earned, as well as related acquisition expenses, are recorded based upon the projected loss experience under the contracts.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19" w:lineRule="exact"/>
        <w:rPr>
          <w:sz w:val="20"/>
          <w:szCs w:val="20"/>
          <w:color w:val="auto"/>
        </w:rPr>
      </w:pPr>
    </w:p>
    <w:p>
      <w:pPr>
        <w:ind w:firstLine="363"/>
        <w:spacing w:after="0" w:line="275" w:lineRule="auto"/>
        <w:rPr>
          <w:sz w:val="20"/>
          <w:szCs w:val="20"/>
          <w:color w:val="auto"/>
        </w:rPr>
      </w:pPr>
      <w:r>
        <w:rPr>
          <w:rFonts w:ascii="Times New Roman" w:cs="Times New Roman" w:eastAsia="Times New Roman" w:hAnsi="Times New Roman"/>
          <w:sz w:val="17"/>
          <w:szCs w:val="17"/>
          <w:color w:val="auto"/>
        </w:rPr>
        <w:t>Other income is principally comprised of fee income in the Specialty Admitted Insurance segment earned on policies for which the segment has no exposure to underwriting risk and broker incentive income in the Excess and Surplus Lines segment. Fee income of $4.6 million, $5.3 million, and $3.8 million is included in other income for the years ended December 31, 2024, 2023, and 2022, respectively. Fees are earned on a pro rata basis over the service period of the underlying business. Policies are accounted for on an individual basis, with no aggregation by counterparty. Broker incentive income in the Excess and Surplus Lines segment was $5.4 million, $1.3 million, and $471,000 for the years ended December 31, 2024, 2023, and 2022, respectively.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right="120" w:firstLine="363"/>
        <w:spacing w:after="0" w:line="256" w:lineRule="auto"/>
        <w:rPr>
          <w:sz w:val="20"/>
          <w:szCs w:val="20"/>
          <w:color w:val="auto"/>
        </w:rPr>
      </w:pPr>
      <w:r>
        <w:rPr>
          <w:rFonts w:ascii="Times New Roman" w:cs="Times New Roman" w:eastAsia="Times New Roman" w:hAnsi="Times New Roman"/>
          <w:sz w:val="18"/>
          <w:szCs w:val="18"/>
          <w:color w:val="auto"/>
        </w:rPr>
        <w:t>Deferred tax assets and deferred tax liabilities are provided for the future tax consequences attributable to temporary differences between the financial statement carrying amounts of assets and liabilities and their respective U.S. tax basis. Deferred tax assets and liabilities are measured using enacted U.S. corporate tax rates expected to apply to taxable income in the years in which those temporary differences are expected to be recovered or settled. Deferred tax assets are reduced by a valuation allowance only when management believes it is more likely than not that some, or all, of the deferred tax assets will not be realized. The Company determined that no valuation allowance was necessary at December 31, 2024 or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19" w:lineRule="exact"/>
        <w:rPr>
          <w:sz w:val="20"/>
          <w:szCs w:val="20"/>
          <w:color w:val="auto"/>
        </w:rPr>
      </w:pPr>
    </w:p>
    <w:p>
      <w:pPr>
        <w:ind w:right="20" w:firstLine="363"/>
        <w:spacing w:after="0" w:line="267" w:lineRule="auto"/>
        <w:rPr>
          <w:sz w:val="20"/>
          <w:szCs w:val="20"/>
          <w:color w:val="auto"/>
        </w:rPr>
      </w:pPr>
      <w:r>
        <w:rPr>
          <w:rFonts w:ascii="Times New Roman" w:cs="Times New Roman" w:eastAsia="Times New Roman" w:hAnsi="Times New Roman"/>
          <w:sz w:val="17"/>
          <w:szCs w:val="17"/>
          <w:color w:val="auto"/>
        </w:rPr>
        <w:t>Goodwill is tested annually for impairment in the fourth quarter of each calendar year, or more frequently if events or changes in circumstances indicate that the carrying amount of the Company’s reporting units, including goodwill, may exceed their fair values. The Company first assesses qualitative factors in determining whether it is necessary to perform the quantitative goodwill impairment test. If management determines that it is more likely than not that the fair value of a reporting unit is less than the carrying value based on qualitative factors then they will perform the quantitative goodwill impairment test. For the quantitative goodwill impairment testing, the fair value of the reporting units is determined using a combination of a market approach and an income approach which projects the future cash flows produced by the reporting units and discounts those cash flows to their present value. The projection of future cash flows is necessarily dependent upon assumptions on the future levels of income as well as business trends, prospects, market, and economic conditions. The results of the two approaches are weighted to determine the fair value of each reporting unit. When the fair value is less than the carrying value of the net assets of the reporting unit, including goodwill, an impairment loss is charged to operations. To determine the amount of any goodwill impairment, the implied fair value of reporting unit goodwill is compared to the carrying amount of that goodwill. The implied fair value of goodwill is determined in the same manner as the amount of goodwill recognized in a business combination is determined. That is, the fair value of a reporting unit is assigned to all of the assets and liabilities of that unit (including any unrecognized intangible assets) as if the reporting unit had been acquired in a business combination. The excess of the fair value of a reporting unit over the amounts assigned to its assets and liabilities is the implied fair value of goodwill.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19" w:lineRule="exact"/>
        <w:rPr>
          <w:sz w:val="20"/>
          <w:szCs w:val="20"/>
          <w:color w:val="auto"/>
        </w:rPr>
      </w:pPr>
    </w:p>
    <w:p>
      <w:pPr>
        <w:jc w:val="both"/>
        <w:ind w:right="200" w:firstLine="363"/>
        <w:spacing w:after="0" w:line="264" w:lineRule="auto"/>
        <w:rPr>
          <w:sz w:val="20"/>
          <w:szCs w:val="20"/>
          <w:color w:val="auto"/>
        </w:rPr>
      </w:pPr>
      <w:r>
        <w:rPr>
          <w:rFonts w:ascii="Times New Roman" w:cs="Times New Roman" w:eastAsia="Times New Roman" w:hAnsi="Times New Roman"/>
          <w:sz w:val="18"/>
          <w:szCs w:val="18"/>
          <w:color w:val="auto"/>
        </w:rPr>
        <w:t>Intangible assets are initially recognized and measured at fair value. Specifically identified intangible assets with indefinite lives include trademarks and state insurance licenses and authorities. Other specifically identified intangible assets with lives ranging from 7.0 to 27.5 years represent relationships with brokers. These intangible assets are amortized on a straight-line basis over their estimated useful lives.</w:t>
      </w:r>
    </w:p>
    <w:p>
      <w:pPr>
        <w:spacing w:after="0" w:line="69" w:lineRule="exact"/>
        <w:rPr>
          <w:sz w:val="20"/>
          <w:szCs w:val="20"/>
          <w:color w:val="auto"/>
        </w:rPr>
      </w:pPr>
    </w:p>
    <w:p>
      <w:pPr>
        <w:ind w:right="260" w:firstLine="363"/>
        <w:spacing w:after="0" w:line="264" w:lineRule="auto"/>
        <w:rPr>
          <w:sz w:val="20"/>
          <w:szCs w:val="20"/>
          <w:color w:val="auto"/>
        </w:rPr>
      </w:pPr>
      <w:r>
        <w:rPr>
          <w:rFonts w:ascii="Times New Roman" w:cs="Times New Roman" w:eastAsia="Times New Roman" w:hAnsi="Times New Roman"/>
          <w:sz w:val="18"/>
          <w:szCs w:val="18"/>
          <w:color w:val="auto"/>
        </w:rPr>
        <w:t>Intangible assets with indefinite useful lives are reviewed for impairment at least annually. In evaluating whether there has been impairment to the intangible asset, management determines the fair value of the intangible asset and compares the resulting fair value to the carrying value of the intangible asset. If the carrying value exceeds the fair value, the intangible asset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is written down to fair value, and the impairment is reported through earnings. The Company evaluates intangible assets with definite lives for impairment when impairment indicators are noted.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19" w:lineRule="exact"/>
        <w:rPr>
          <w:sz w:val="20"/>
          <w:szCs w:val="20"/>
          <w:color w:val="auto"/>
        </w:rPr>
      </w:pPr>
    </w:p>
    <w:p>
      <w:pPr>
        <w:ind w:firstLine="363"/>
        <w:spacing w:after="0" w:line="269" w:lineRule="auto"/>
        <w:rPr>
          <w:sz w:val="20"/>
          <w:szCs w:val="20"/>
          <w:color w:val="auto"/>
        </w:rPr>
      </w:pPr>
      <w:r>
        <w:rPr>
          <w:rFonts w:ascii="Times New Roman" w:cs="Times New Roman" w:eastAsia="Times New Roman" w:hAnsi="Times New Roman"/>
          <w:sz w:val="17"/>
          <w:szCs w:val="17"/>
          <w:color w:val="auto"/>
        </w:rPr>
        <w:t>Long-lived assets with finite lives are tested for impairment whenever recognized events or changes in circumstances indicate the carrying value of these assets may not be recoverable. If indicators of impairment are present, fair value is calculated using estimated future cash flows expected to be generated from the use of those assets. In the fourth quarter of 2024, the Company determined that the decrease in the share price of the Company’s common stock during the quarter was an indication of impairment, and accordingly, the Company performed impairment testing on its goodwill and other intangible assets using a December 31, 2024 valuation date. As a result of this testing, the Company concluded that no impairment of the intangible assets had occurred. An impairment loss is recognized only if the carrying amount of a long-lived asset or asset group is not recoverable and exceeds its fair value. The carrying amount of a long-lived asset or asset group is not recoverable if it exceeds the sum of the undiscounted cash flows expected to result from the use and eventual disposition of the asset or asset group. That assessment is based on the carrying amount of the asset or asset group at the date it is tested for recoverability. An impairment loss is measured as the amount by which the carrying amount of a long-lived asset or asset group exceeds its fair value.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and equipment, which is included in “other assets” in the accompanying consolidated balance sheets, is reported at cost less accumulated</w:t>
      </w:r>
    </w:p>
    <w:p>
      <w:pPr>
        <w:spacing w:after="0" w:line="27" w:lineRule="exact"/>
        <w:rPr>
          <w:sz w:val="20"/>
          <w:szCs w:val="20"/>
          <w:color w:val="auto"/>
        </w:rPr>
      </w:pPr>
    </w:p>
    <w:p>
      <w:pPr>
        <w:spacing w:after="0" w:line="363" w:lineRule="auto"/>
        <w:rPr>
          <w:sz w:val="20"/>
          <w:szCs w:val="20"/>
          <w:color w:val="auto"/>
        </w:rPr>
      </w:pPr>
      <w:r>
        <w:rPr>
          <w:rFonts w:ascii="Times New Roman" w:cs="Times New Roman" w:eastAsia="Times New Roman" w:hAnsi="Times New Roman"/>
          <w:sz w:val="18"/>
          <w:szCs w:val="18"/>
          <w:color w:val="auto"/>
        </w:rPr>
        <w:t xml:space="preserve">depreciation and is depreciated principally on a straight-line basis over the estimated useful lives of the depreciable assets, generally three years to ten years. </w:t>
      </w:r>
      <w:r>
        <w:rPr>
          <w:rFonts w:ascii="Times New Roman" w:cs="Times New Roman" w:eastAsia="Times New Roman" w:hAnsi="Times New Roman"/>
          <w:sz w:val="18"/>
          <w:szCs w:val="18"/>
          <w:b w:val="1"/>
          <w:bCs w:val="1"/>
          <w:color w:val="auto"/>
        </w:rPr>
        <w:t>Reserve for Losses and Loss Adjustment Expenses</w:t>
      </w:r>
    </w:p>
    <w:p>
      <w:pPr>
        <w:ind w:right="100" w:firstLine="363"/>
        <w:spacing w:after="0" w:line="279" w:lineRule="auto"/>
        <w:rPr>
          <w:sz w:val="20"/>
          <w:szCs w:val="20"/>
          <w:color w:val="auto"/>
        </w:rPr>
      </w:pPr>
      <w:r>
        <w:rPr>
          <w:rFonts w:ascii="Times New Roman" w:cs="Times New Roman" w:eastAsia="Times New Roman" w:hAnsi="Times New Roman"/>
          <w:sz w:val="17"/>
          <w:szCs w:val="17"/>
          <w:color w:val="auto"/>
        </w:rPr>
        <w:t>The reserve for losses and loss adjustment expenses represents the estimated ultimate cost of all reported and unreported losses and loss adjustment expenses incurred and unpaid at the balance sheet date. The Company does not discount this reserve. The process of estimating the reserve for losses and loss adjustment expenses requires a high degree of judgment and is subject to a number of variables. The reserve for losses and loss adjustment expenses is estimated using individual case-basis valuations and statistical analyses. Those estimates are subject to the effects of trends in loss severity and frequency.</w:t>
      </w:r>
    </w:p>
    <w:p>
      <w:pPr>
        <w:spacing w:after="0" w:line="58" w:lineRule="exact"/>
        <w:rPr>
          <w:sz w:val="20"/>
          <w:szCs w:val="20"/>
          <w:color w:val="auto"/>
        </w:rPr>
      </w:pPr>
    </w:p>
    <w:p>
      <w:pPr>
        <w:ind w:right="20" w:firstLine="363"/>
        <w:spacing w:after="0" w:line="251" w:lineRule="auto"/>
        <w:rPr>
          <w:sz w:val="20"/>
          <w:szCs w:val="20"/>
          <w:color w:val="auto"/>
        </w:rPr>
      </w:pPr>
      <w:r>
        <w:rPr>
          <w:rFonts w:ascii="Times New Roman" w:cs="Times New Roman" w:eastAsia="Times New Roman" w:hAnsi="Times New Roman"/>
          <w:sz w:val="18"/>
          <w:szCs w:val="18"/>
          <w:color w:val="auto"/>
        </w:rPr>
        <w:t>The Company utilizes various actuarially-accepted reserving methodologies in determining expected outcomes for its reserves. These methodologies utilize various inputs, including management’s initial expected loss ratio (the ratio of losses and loss adjustment expenses incurred to net earned premiums), expected reporting patterns and payment patterns for losses and loss adjustment expenses (based on insurance industry data and the Company’s own experience), and the Company’s actual paid and reported losses and loss adjustment expenses. An internal actuary reviews these results and (after applying appropriate professional judgment and other actuarial techniques that are considered necessary) presents recommendations to the Company’s management. Management uses this information and its judgment to make decisions on the final recorded reserve for losses and loss adjustment expenses. Management believes that the use of judgment is necessary to arrive at a best estimate for the reserve for losses and loss adjustment expenses given the long-tailed nature of the business generally written by the Company and the limited operating experience of the fronting and program business in the Specialty Admitted Insurance segment. Judgment is also required to make actuarial adjustments, if needed, for changes in claims processing and case reserving that could cause current reported loss and paid loss development patterns to deviate from historical patterns. The Company believes that the insurance that it writes is subject to above-average variation in reserve estimates. The Excess and Surplus Lines market is subject to high policyholder turnover and changes in underlying mix of exposures. This turnover and change in underlying mix of exposures can cause actuarial estimates based on prior experience to be less reliable than estimates for more stable, admitted books of business.</w:t>
      </w:r>
    </w:p>
    <w:p>
      <w:pPr>
        <w:spacing w:after="0" w:line="88" w:lineRule="exact"/>
        <w:rPr>
          <w:sz w:val="20"/>
          <w:szCs w:val="20"/>
          <w:color w:val="auto"/>
        </w:rPr>
      </w:pPr>
    </w:p>
    <w:p>
      <w:pPr>
        <w:ind w:right="40" w:firstLine="363"/>
        <w:spacing w:after="0" w:line="256" w:lineRule="auto"/>
        <w:rPr>
          <w:sz w:val="20"/>
          <w:szCs w:val="20"/>
          <w:color w:val="auto"/>
        </w:rPr>
      </w:pPr>
      <w:r>
        <w:rPr>
          <w:rFonts w:ascii="Times New Roman" w:cs="Times New Roman" w:eastAsia="Times New Roman" w:hAnsi="Times New Roman"/>
          <w:sz w:val="18"/>
          <w:szCs w:val="18"/>
          <w:color w:val="auto"/>
        </w:rPr>
        <w:t>Catastrophes of significant magnitude, including hurricanes, earthquakes, and wildfires, involve complex coverage issues. In estimating the reserve for losses and loss adjustment expenses for these catastrophes, management uses case reserve estimates based on information obtained from site inspections by the Company’s adjustors and the terms of coverage provided in the policies. Management estimates reserves for incurred but not reported claims for these catastrophes using judgment based on an assessment of the Company’s property insurance exposures where the catastrophes occur and the Company’s progress in settling claims.</w:t>
      </w:r>
    </w:p>
    <w:p>
      <w:pPr>
        <w:spacing w:after="0" w:line="79" w:lineRule="exact"/>
        <w:rPr>
          <w:sz w:val="20"/>
          <w:szCs w:val="20"/>
          <w:color w:val="auto"/>
        </w:rPr>
      </w:pPr>
    </w:p>
    <w:p>
      <w:pPr>
        <w:ind w:right="60" w:firstLine="363"/>
        <w:spacing w:after="0" w:line="259" w:lineRule="auto"/>
        <w:rPr>
          <w:sz w:val="20"/>
          <w:szCs w:val="20"/>
          <w:color w:val="auto"/>
        </w:rPr>
      </w:pPr>
      <w:r>
        <w:rPr>
          <w:rFonts w:ascii="Times New Roman" w:cs="Times New Roman" w:eastAsia="Times New Roman" w:hAnsi="Times New Roman"/>
          <w:sz w:val="18"/>
          <w:szCs w:val="18"/>
          <w:color w:val="auto"/>
        </w:rPr>
        <w:t>Although management believes that the reserve for losses and loss adjustment expenses is reasonable, it is possible that the Company’s actual incurred losses and loss adjustment expenses will not develop in a manner consistent with the assumptions inherent in the determination of these reserves. Specifically, the Company’s actual ultimate loss ratio could differ from management’s initial expected loss ratio and/or the Company’s actual reporting patterns for losses could differ from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right="540"/>
        <w:spacing w:after="0" w:line="264" w:lineRule="auto"/>
        <w:rPr>
          <w:sz w:val="20"/>
          <w:szCs w:val="20"/>
          <w:color w:val="auto"/>
        </w:rPr>
      </w:pPr>
      <w:r>
        <w:rPr>
          <w:rFonts w:ascii="Times New Roman" w:cs="Times New Roman" w:eastAsia="Times New Roman" w:hAnsi="Times New Roman"/>
          <w:sz w:val="18"/>
          <w:szCs w:val="18"/>
          <w:color w:val="auto"/>
        </w:rPr>
        <w:t>expected reporting patterns. Accordingly, the ultimate settlement of losses and the related loss adjustment expenses may vary significantly from the estimates included in the Company’s consolidated financial statements. These estimates are reviewed continually by management and are adjusted as necessary as experience develops or new information becomes known; such adjustments are included in current operations.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Retroactive Reinsurance Accounting</w:t>
      </w:r>
    </w:p>
    <w:p>
      <w:pPr>
        <w:spacing w:after="0" w:line="119" w:lineRule="exact"/>
        <w:rPr>
          <w:sz w:val="20"/>
          <w:szCs w:val="20"/>
          <w:color w:val="auto"/>
        </w:rPr>
      </w:pPr>
    </w:p>
    <w:p>
      <w:pPr>
        <w:ind w:right="40" w:firstLine="323"/>
        <w:spacing w:after="0" w:line="254" w:lineRule="auto"/>
        <w:rPr>
          <w:sz w:val="20"/>
          <w:szCs w:val="20"/>
          <w:color w:val="auto"/>
        </w:rPr>
      </w:pPr>
      <w:r>
        <w:rPr>
          <w:rFonts w:ascii="Times New Roman" w:cs="Times New Roman" w:eastAsia="Times New Roman" w:hAnsi="Times New Roman"/>
          <w:sz w:val="18"/>
          <w:szCs w:val="18"/>
          <w:color w:val="auto"/>
        </w:rPr>
        <w:t>Loss portfolio transfers and adverse development covers are forms of reinsurance utilized by the Company to transfer losses and loss adjustment expenses and associated risk of adverse development on covered subject business, as defined in the respective agreements, to an assuming reinsurer in exchange for a reinsurance premium. The Company periodically reevaluates the remaining reserves subject to loss portfolio transfers and adverse development covers, and when recognized adverse prior year development on the subject business causes the cumulative amounts ceded under the agreements to exceed the consideration paid, the agreements move into a gain position subject to retroactive reinsurance accounting under GAAP. Gains are deferred under retroactive reinsurance accounting and recognized in earnings in proportion to actual paid recoveries under the agreements using the recovery method.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Based Compensation</w:t>
      </w:r>
    </w:p>
    <w:p>
      <w:pPr>
        <w:spacing w:after="0" w:line="119" w:lineRule="exact"/>
        <w:rPr>
          <w:sz w:val="20"/>
          <w:szCs w:val="20"/>
          <w:color w:val="auto"/>
        </w:rPr>
      </w:pPr>
    </w:p>
    <w:p>
      <w:pPr>
        <w:ind w:right="160" w:firstLine="363"/>
        <w:spacing w:after="0" w:line="256" w:lineRule="auto"/>
        <w:rPr>
          <w:sz w:val="20"/>
          <w:szCs w:val="20"/>
          <w:color w:val="auto"/>
        </w:rPr>
      </w:pPr>
      <w:r>
        <w:rPr>
          <w:rFonts w:ascii="Times New Roman" w:cs="Times New Roman" w:eastAsia="Times New Roman" w:hAnsi="Times New Roman"/>
          <w:sz w:val="18"/>
          <w:szCs w:val="18"/>
          <w:color w:val="auto"/>
        </w:rPr>
        <w:t>The Company expenses the fair value of share equity awards over the vesting period of the award on a straight-line basis. Compensation cost for performance restricted share units (“PRSU”) is based upon the probable outcome of performance conditions. The Black-Scholes-Merton option pricing model is used to value the options granted (see Note 14). Forfeitures of share-based awards are recognized as they occur. As the share based compensation expense is incurred, a corresponding increase to additional paid-in capital in shareholders’ equity is recognized. Share based compensation expense is reflected in “other operating expenses” in the accompanying consolidated statements of (loss) income and comprehensive loss.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119" w:lineRule="exact"/>
        <w:rPr>
          <w:sz w:val="20"/>
          <w:szCs w:val="20"/>
          <w:color w:val="auto"/>
        </w:rPr>
      </w:pPr>
    </w:p>
    <w:p>
      <w:pPr>
        <w:ind w:right="100" w:firstLine="363"/>
        <w:spacing w:after="0" w:line="253" w:lineRule="auto"/>
        <w:rPr>
          <w:sz w:val="20"/>
          <w:szCs w:val="20"/>
          <w:color w:val="auto"/>
        </w:rPr>
      </w:pPr>
      <w:r>
        <w:rPr>
          <w:rFonts w:ascii="Times New Roman" w:cs="Times New Roman" w:eastAsia="Times New Roman" w:hAnsi="Times New Roman"/>
          <w:sz w:val="18"/>
          <w:szCs w:val="18"/>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spacing w:after="0" w:line="82" w:lineRule="exact"/>
        <w:rPr>
          <w:sz w:val="20"/>
          <w:szCs w:val="20"/>
          <w:color w:val="auto"/>
        </w:rPr>
      </w:pPr>
    </w:p>
    <w:p>
      <w:pPr>
        <w:ind w:right="60" w:firstLine="363"/>
        <w:spacing w:after="0" w:line="256" w:lineRule="auto"/>
        <w:rPr>
          <w:sz w:val="20"/>
          <w:szCs w:val="20"/>
          <w:color w:val="auto"/>
        </w:rPr>
      </w:pPr>
      <w:r>
        <w:rPr>
          <w:rFonts w:ascii="Times New Roman" w:cs="Times New Roman" w:eastAsia="Times New Roman" w:hAnsi="Times New Roman"/>
          <w:sz w:val="18"/>
          <w:szCs w:val="18"/>
          <w:color w:val="auto"/>
        </w:rPr>
        <w:t>The Company holds interests in VIEs through certain equity method investments included in “other invested assets” in the accompanying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$7.7 million and $8.4 million as of December 31, 2024 and 2023, respectively, representing the Company’s maximum exposure to loss.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119" w:lineRule="exact"/>
        <w:rPr>
          <w:sz w:val="20"/>
          <w:szCs w:val="20"/>
          <w:color w:val="auto"/>
        </w:rPr>
      </w:pPr>
    </w:p>
    <w:p>
      <w:pPr>
        <w:ind w:firstLine="363"/>
        <w:spacing w:after="0" w:line="256" w:lineRule="auto"/>
        <w:rPr>
          <w:sz w:val="20"/>
          <w:szCs w:val="20"/>
          <w:color w:val="auto"/>
        </w:rPr>
      </w:pPr>
      <w:r>
        <w:rPr>
          <w:rFonts w:ascii="Times New Roman" w:cs="Times New Roman" w:eastAsia="Times New Roman" w:hAnsi="Times New Roman"/>
          <w:sz w:val="18"/>
          <w:szCs w:val="18"/>
          <w:color w:val="auto"/>
        </w:rPr>
        <w:t>Basic earnings (loss) per share excludes dilution and is computed by dividing net income (loss) available to common shareholders by the weighted-average number of common shares outstanding for the period. Diluted earnings (loss) per share reflects the dilution that could occur if securities or other contracts to issue common shares were exercised or vested using the treasury stock method or converted into common shares under the if-converted method. When inclusion of potential common shares increases the earnings per share or reduces the loss per share, the effect on earnings is anti-dilutive, and the diluted net earnings or net loss per share is computed excluding these potential common shares.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right="240" w:firstLine="363"/>
        <w:spacing w:after="0" w:line="280" w:lineRule="auto"/>
        <w:rPr>
          <w:sz w:val="20"/>
          <w:szCs w:val="20"/>
          <w:color w:val="auto"/>
        </w:rPr>
      </w:pPr>
      <w:r>
        <w:rPr>
          <w:rFonts w:ascii="Times New Roman" w:cs="Times New Roman" w:eastAsia="Times New Roman" w:hAnsi="Times New Roman"/>
          <w:sz w:val="18"/>
          <w:szCs w:val="18"/>
          <w:color w:val="auto"/>
        </w:rPr>
        <w:t>The following represents a reconciliation of the numerator and denominator of the basic and diluted (loss) earnings per common share computations contained in the consolidated financial statements.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5"/>
        </w:trPr>
        <w:tc>
          <w:tcPr>
            <w:tcW w:w="6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8"/>
        </w:trPr>
        <w:tc>
          <w:tcPr>
            <w:tcW w:w="6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60" w:type="dxa"/>
            <w:vAlign w:val="bottom"/>
            <w:gridSpan w:val="7"/>
          </w:tcPr>
          <w:p>
            <w:pPr>
              <w:jc w:val="center"/>
              <w:ind w:right="232"/>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amounts)</w:t>
            </w:r>
          </w:p>
        </w:tc>
      </w:tr>
      <w:tr>
        <w:trPr>
          <w:trHeight w:val="234"/>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(63,486)</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34,858</w:t>
            </w:r>
          </w:p>
        </w:tc>
      </w:tr>
      <w:tr>
        <w:trPr>
          <w:trHeight w:val="228"/>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Dividends on Series A preferred shares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(8,750)</w:t>
            </w:r>
          </w:p>
        </w:tc>
      </w:tr>
      <w:tr>
        <w:trPr>
          <w:trHeight w:val="222"/>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available to common shareholders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26,108</w:t>
            </w:r>
          </w:p>
        </w:tc>
      </w:tr>
      <w:tr>
        <w:trPr>
          <w:trHeight w:val="228"/>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(168,893)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w:t>
            </w:r>
          </w:p>
        </w:tc>
      </w:tr>
      <w:tr>
        <w:trPr>
          <w:trHeight w:val="247"/>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22,223</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6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8"/>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8"/>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38,685,003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37,618,660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37,442,856</w:t>
            </w:r>
          </w:p>
        </w:tc>
      </w:tr>
      <w:tr>
        <w:trPr>
          <w:trHeight w:val="228"/>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208,113</w:t>
            </w:r>
          </w:p>
        </w:tc>
      </w:tr>
      <w:tr>
        <w:trPr>
          <w:trHeight w:val="222"/>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38,685,003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37,810,440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37,650,969</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6"/>
        </w:trPr>
        <w:tc>
          <w:tcPr>
            <w:tcW w:w="6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8"/>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8"/>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8"/>
        </w:trPr>
        <w:tc>
          <w:tcPr>
            <w:tcW w:w="6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28"/>
        </w:trPr>
        <w:tc>
          <w:tcPr>
            <w:tcW w:w="6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22"/>
        </w:trPr>
        <w:tc>
          <w:tcPr>
            <w:tcW w:w="688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r>
      <w:tr>
        <w:trPr>
          <w:trHeight w:val="228"/>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8"/>
        </w:trPr>
        <w:tc>
          <w:tcPr>
            <w:tcW w:w="6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228"/>
        </w:trPr>
        <w:tc>
          <w:tcPr>
            <w:tcW w:w="6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27"/>
        </w:trPr>
        <w:tc>
          <w:tcPr>
            <w:tcW w:w="688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r>
    </w:tbl>
    <w:p>
      <w:pPr>
        <w:spacing w:after="0" w:line="178" w:lineRule="exact"/>
        <w:rPr>
          <w:sz w:val="20"/>
          <w:szCs w:val="20"/>
          <w:color w:val="auto"/>
        </w:rPr>
      </w:pPr>
    </w:p>
    <w:p>
      <w:pPr>
        <w:ind w:right="680" w:firstLine="363"/>
        <w:spacing w:after="0" w:line="280" w:lineRule="auto"/>
        <w:rPr>
          <w:sz w:val="20"/>
          <w:szCs w:val="20"/>
          <w:color w:val="auto"/>
        </w:rPr>
      </w:pPr>
      <w:r>
        <w:rPr>
          <w:rFonts w:ascii="Times New Roman" w:cs="Times New Roman" w:eastAsia="Times New Roman" w:hAnsi="Times New Roman"/>
          <w:sz w:val="18"/>
          <w:szCs w:val="18"/>
          <w:color w:val="auto"/>
        </w:rPr>
        <w:t>For the years ended December 31, 2024, 2023, and 2022, potential common shares of 7,886,906, 5,722,915, and 4,728,461, respectively, were excluded from the calculation of diluted (loss) earnings per common share as their effects were anti-dilutive.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Adopted Accounting Standards</w:t>
      </w:r>
    </w:p>
    <w:p>
      <w:pPr>
        <w:spacing w:after="0" w:line="117" w:lineRule="exact"/>
        <w:rPr>
          <w:sz w:val="20"/>
          <w:szCs w:val="20"/>
          <w:color w:val="auto"/>
        </w:rPr>
      </w:pPr>
    </w:p>
    <w:p>
      <w:pPr>
        <w:jc w:val="both"/>
        <w:ind w:firstLine="363"/>
        <w:spacing w:after="0" w:line="257" w:lineRule="auto"/>
        <w:rPr>
          <w:sz w:val="20"/>
          <w:szCs w:val="20"/>
          <w:color w:val="auto"/>
        </w:rPr>
      </w:pPr>
      <w:r>
        <w:rPr>
          <w:rFonts w:ascii="Times New Roman" w:cs="Times New Roman" w:eastAsia="Times New Roman" w:hAnsi="Times New Roman"/>
          <w:sz w:val="18"/>
          <w:szCs w:val="18"/>
          <w:color w:val="auto"/>
        </w:rPr>
        <w:t>The guidance in ASU 2023-07</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was designed to improve reportable segment disclosure requirements, primarily through enhanced disclosures about significant segment expenses. This ASU is effective for fiscal years beginning after December 15, 2023, and interim periods within fiscal years beginning after December 15, 2024. The Company adopted the new standard effective with this Form 10-K by providing additional segment disclosures in Note 20. The new standard did not have a material impact on the Company's financial statements.</w:t>
      </w:r>
    </w:p>
    <w:p>
      <w:pPr>
        <w:spacing w:after="0" w:line="76" w:lineRule="exact"/>
        <w:rPr>
          <w:sz w:val="20"/>
          <w:szCs w:val="20"/>
          <w:color w:val="auto"/>
        </w:rPr>
      </w:pPr>
    </w:p>
    <w:p>
      <w:pPr>
        <w:ind w:right="1120" w:firstLine="363"/>
        <w:spacing w:after="0" w:line="372" w:lineRule="auto"/>
        <w:rPr>
          <w:sz w:val="20"/>
          <w:szCs w:val="20"/>
          <w:color w:val="auto"/>
        </w:rPr>
      </w:pPr>
      <w:r>
        <w:rPr>
          <w:rFonts w:ascii="Times New Roman" w:cs="Times New Roman" w:eastAsia="Times New Roman" w:hAnsi="Times New Roman"/>
          <w:sz w:val="18"/>
          <w:szCs w:val="18"/>
          <w:color w:val="auto"/>
        </w:rPr>
        <w:t xml:space="preserve">No accounting standards were adopted during the year ended December 31, 2024 that had a material impact on our financial statements. </w:t>
      </w:r>
      <w:r>
        <w:rPr>
          <w:rFonts w:ascii="Times New Roman" w:cs="Times New Roman" w:eastAsia="Times New Roman" w:hAnsi="Times New Roman"/>
          <w:sz w:val="18"/>
          <w:szCs w:val="18"/>
          <w:b w:val="1"/>
          <w:bCs w:val="1"/>
          <w:color w:val="auto"/>
        </w:rPr>
        <w:t>Prospective Accounting Standards</w:t>
      </w:r>
    </w:p>
    <w:p>
      <w:pPr>
        <w:spacing w:after="0" w:line="1" w:lineRule="exact"/>
        <w:rPr>
          <w:sz w:val="20"/>
          <w:szCs w:val="20"/>
          <w:color w:val="auto"/>
        </w:rPr>
      </w:pPr>
    </w:p>
    <w:p>
      <w:pPr>
        <w:ind w:right="60" w:firstLine="363"/>
        <w:spacing w:after="0" w:line="260" w:lineRule="auto"/>
        <w:rPr>
          <w:sz w:val="20"/>
          <w:szCs w:val="20"/>
          <w:color w:val="auto"/>
        </w:rPr>
      </w:pPr>
      <w:r>
        <w:rPr>
          <w:rFonts w:ascii="Times New Roman" w:cs="Times New Roman" w:eastAsia="Times New Roman" w:hAnsi="Times New Roman"/>
          <w:sz w:val="18"/>
          <w:szCs w:val="18"/>
          <w:color w:val="auto"/>
        </w:rPr>
        <w:t>The guidance in ASU 2023-09</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was designed to increase transparency about income tax information through improvements to the rate reconciliation and disclosure of income taxes paid. This ASU is effective for fiscal years beginning after December 15, 2024. Although the Company continues to evaluate the impact of adopting this new accounting standard, the amendments are disclosure-related and are not expected to have a material impact on the Company's financial statements.</w:t>
      </w:r>
    </w:p>
    <w:p>
      <w:pPr>
        <w:spacing w:after="0" w:line="71" w:lineRule="exact"/>
        <w:rPr>
          <w:sz w:val="20"/>
          <w:szCs w:val="20"/>
          <w:color w:val="auto"/>
        </w:rPr>
      </w:pPr>
    </w:p>
    <w:p>
      <w:pPr>
        <w:ind w:right="100" w:firstLine="363"/>
        <w:spacing w:after="0" w:line="265" w:lineRule="auto"/>
        <w:rPr>
          <w:sz w:val="20"/>
          <w:szCs w:val="20"/>
          <w:color w:val="auto"/>
        </w:rPr>
      </w:pPr>
      <w:r>
        <w:rPr>
          <w:rFonts w:ascii="Times New Roman" w:cs="Times New Roman" w:eastAsia="Times New Roman" w:hAnsi="Times New Roman"/>
          <w:sz w:val="18"/>
          <w:szCs w:val="18"/>
          <w:color w:val="auto"/>
        </w:rPr>
        <w:t>The guidance in ASU 2024-03</w:t>
      </w:r>
      <w:r>
        <w:rPr>
          <w:rFonts w:ascii="Times New Roman" w:cs="Times New Roman" w:eastAsia="Times New Roman" w:hAnsi="Times New Roman"/>
          <w:sz w:val="18"/>
          <w:szCs w:val="18"/>
          <w:i w:val="1"/>
          <w:iCs w:val="1"/>
          <w:color w:val="auto"/>
        </w:rPr>
        <w:t>, Income Statement - Reporting Comprehensive Income - Expense Disaggregation Disclosures (Subtopic 220-40):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of Income Statement Expenses </w:t>
      </w:r>
      <w:r>
        <w:rPr>
          <w:rFonts w:ascii="Times New Roman" w:cs="Times New Roman" w:eastAsia="Times New Roman" w:hAnsi="Times New Roman"/>
          <w:sz w:val="18"/>
          <w:szCs w:val="18"/>
          <w:color w:val="auto"/>
        </w:rPr>
        <w:t>requires additional, disaggregated disclosure around certain income statement expense line items. This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effective for fiscal years beginning after December 15, 2026</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color w:val="auto"/>
        </w:rPr>
        <w:t>and interim periods beginning after December 15, 2027, although early adoption is permitted. The Company is in the process of evaluating the impact of this new guidance on the disclosures in its financial statements.</w:t>
      </w:r>
    </w:p>
    <w:p>
      <w:pPr>
        <w:spacing w:after="0" w:line="55" w:lineRule="exact"/>
        <w:rPr>
          <w:sz w:val="20"/>
          <w:szCs w:val="20"/>
          <w:color w:val="auto"/>
        </w:rPr>
      </w:pPr>
    </w:p>
    <w:p>
      <w:pPr>
        <w:ind w:right="840" w:firstLine="363"/>
        <w:spacing w:after="0" w:line="280" w:lineRule="auto"/>
        <w:rPr>
          <w:sz w:val="20"/>
          <w:szCs w:val="20"/>
          <w:color w:val="auto"/>
        </w:rPr>
      </w:pPr>
      <w:r>
        <w:rPr>
          <w:rFonts w:ascii="Times New Roman" w:cs="Times New Roman" w:eastAsia="Times New Roman" w:hAnsi="Times New Roman"/>
          <w:sz w:val="18"/>
          <w:szCs w:val="18"/>
          <w:color w:val="auto"/>
        </w:rPr>
        <w:t>There are no other prospective accounting standards which are expected to have a material impact on our financial statements subsequent to December 31, 2024.</w:t>
      </w:r>
    </w:p>
    <w:p>
      <w:pPr>
        <w:spacing w:after="0" w:line="5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Discontinued Operations</w:t>
      </w:r>
    </w:p>
    <w:p>
      <w:pPr>
        <w:spacing w:after="0" w:line="119" w:lineRule="exact"/>
        <w:rPr>
          <w:sz w:val="20"/>
          <w:szCs w:val="20"/>
          <w:color w:val="auto"/>
        </w:rPr>
      </w:pPr>
    </w:p>
    <w:p>
      <w:pPr>
        <w:ind w:right="80" w:firstLine="323"/>
        <w:spacing w:after="0" w:line="256" w:lineRule="auto"/>
        <w:rPr>
          <w:sz w:val="20"/>
          <w:szCs w:val="20"/>
          <w:color w:val="auto"/>
        </w:rPr>
      </w:pPr>
      <w:r>
        <w:rPr>
          <w:rFonts w:ascii="Times New Roman" w:cs="Times New Roman" w:eastAsia="Times New Roman" w:hAnsi="Times New Roman"/>
          <w:sz w:val="18"/>
          <w:szCs w:val="18"/>
          <w:color w:val="auto"/>
        </w:rPr>
        <w:t>On November 8, 2023, the Company entered into a Stock Purchase Agreement (the “Stock Purchase Agreement”) with Fleming Intermediate Holdings LLC, a Cayman Islands limited liability company (the “Buyer”). Pursuant to the Stock Purchase Agreement, and on the terms and subject to the conditions therein, the Buyer agreed to purchase from the Company all of the common shares of JRG Re. JRG Re comprised the remaining operations of the former Casualty Reinsurance segment, and the sale of JRG Re, which closed on April 16, 2024, resulted in the Company’s disposition of its casualty reinsurance business and related assets.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the terms of the Stock Purchase Agreement, the aggregate purchase price received by the Company, after giving effect to estimated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based on changes in JRG Re’s adjusted net worth between March 31, 2023 and the closing, totaled approximately $291.4 million (the “Closing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Purchase Price”). The aggregate Closing Date Purchase Price was comprised of (i) $152.4 million paid in cash by the Buyer and (ii) an aggregate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$139.0 million dividend and distribution from contributed surplus by JRG Re to the Company. In accordance with the Stock Purchase Agreement, the cash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of the purchase price was calculated based on an estimated balance sheet of JRG Re as of the date of closing. The estimated balance sheet is subject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final post-closing adjustments, which resulted in the downward adjustment to the purchase price discussed below.</w:t>
      </w:r>
    </w:p>
    <w:p>
      <w:pPr>
        <w:spacing w:after="0" w:line="97" w:lineRule="exact"/>
        <w:rPr>
          <w:sz w:val="20"/>
          <w:szCs w:val="20"/>
          <w:color w:val="auto"/>
        </w:rPr>
      </w:pPr>
    </w:p>
    <w:p>
      <w:pPr>
        <w:ind w:right="20" w:firstLine="323"/>
        <w:spacing w:after="0" w:line="253" w:lineRule="auto"/>
        <w:rPr>
          <w:sz w:val="20"/>
          <w:szCs w:val="20"/>
          <w:color w:val="auto"/>
        </w:rPr>
      </w:pPr>
      <w:r>
        <w:rPr>
          <w:rFonts w:ascii="Times New Roman" w:cs="Times New Roman" w:eastAsia="Times New Roman" w:hAnsi="Times New Roman"/>
          <w:sz w:val="18"/>
          <w:szCs w:val="18"/>
          <w:color w:val="auto"/>
        </w:rPr>
        <w:t>The Buyer delivered a closing statement to the Company, and pursuant to the procedures in the Stock Purchase Agreement, the Company has given its notice of disagreement with the Buyer’s closing statement. In its notice of disagreement, the Company (i) agreed with an $11.4 million downward adjustment to the Closing Date Purchase Price due to losses from JRG Re’s operations between the date of the balance sheet used to produce the estimated closing statement and the Closing Date, which downward adjustment was paid to the Buyer on October 18, 2024, and (ii) disputed $54.1 million in aggregate downward adjustments to the Closing Date Purchase Price claimed by the Buyer, which the Company believes are unsupported by the facts known to the Company and the terms of the Stock Purchase Agreement. The Stock Purchase Agreement provides procedures for resolving disputes between the parties regarding the closing statement and it is possible that the resolution of these disputes could result in a significant reduction to the amount of the purchase price.</w:t>
      </w:r>
    </w:p>
    <w:p>
      <w:pPr>
        <w:spacing w:after="0" w:line="82" w:lineRule="exact"/>
        <w:rPr>
          <w:sz w:val="20"/>
          <w:szCs w:val="20"/>
          <w:color w:val="auto"/>
        </w:rPr>
      </w:pPr>
    </w:p>
    <w:p>
      <w:pPr>
        <w:ind w:firstLine="323"/>
        <w:spacing w:after="0" w:line="259" w:lineRule="auto"/>
        <w:rPr>
          <w:sz w:val="20"/>
          <w:szCs w:val="20"/>
          <w:color w:val="auto"/>
        </w:rPr>
      </w:pPr>
      <w:r>
        <w:rPr>
          <w:rFonts w:ascii="Times New Roman" w:cs="Times New Roman" w:eastAsia="Times New Roman" w:hAnsi="Times New Roman"/>
          <w:sz w:val="18"/>
          <w:szCs w:val="18"/>
          <w:color w:val="auto"/>
        </w:rPr>
        <w:t>The Company determined that the sale of JRG Re met the criteria to be classified as held for sale at December 31, 2023 and that the sale represented a strategic shift that will have a major effect on its operations. Accordingly, the results of JRG Re's operations have been presented as discontinued operations, and the assets and liabilities of JRG Re at December 31, 2023 have been classified as held for sale and segregated for all periods presented in this Annual Report on Form 10-K.</w:t>
      </w:r>
    </w:p>
    <w:p>
      <w:pPr>
        <w:spacing w:after="0" w:line="74" w:lineRule="exact"/>
        <w:rPr>
          <w:sz w:val="20"/>
          <w:szCs w:val="20"/>
          <w:color w:val="auto"/>
        </w:rPr>
      </w:pPr>
    </w:p>
    <w:p>
      <w:pPr>
        <w:ind w:right="20" w:firstLine="323"/>
        <w:spacing w:after="0" w:line="253" w:lineRule="auto"/>
        <w:rPr>
          <w:sz w:val="20"/>
          <w:szCs w:val="20"/>
          <w:color w:val="auto"/>
        </w:rPr>
      </w:pPr>
      <w:r>
        <w:rPr>
          <w:rFonts w:ascii="Times New Roman" w:cs="Times New Roman" w:eastAsia="Times New Roman" w:hAnsi="Times New Roman"/>
          <w:sz w:val="18"/>
          <w:szCs w:val="18"/>
          <w:color w:val="auto"/>
        </w:rPr>
        <w:t>The $139.0 million pre-closing dividend includes the forgiveness of $133.2 million owed from JRGH to JRG Re and $5.8 million which was paid in cash to JRGH. In the fourth quarter of 2023, after giving effect to the pre-closing dividend, the Company recorded an estimated loss on sale of $80.4 million to write down the carrying value of JRG Re to its estimated fair value based upon the estimated sales price of the transaction less costs to sell and other adjustments in accordance with the Stock Purchase Agreement. At December 31, 2024, the estimated loss on the sale was revised to $78.3 million. The loss on disposal for the year ended December 31, 2024 of $4.1 million includes the $2.1 million gain for the change in the estimated loss on sale and selling costs incurred of $6.2 million. The $5.8 million cash portion of the pre-closing dividend is included in other liabilities at December 31, 2023. The Company also recognized losses of $53.2 million for the year ended December 31, 2023 associated with JRG Re's fixed maturity securities as the Company no longer had the intent or ability to hold securities in an unrealized loss position until a recovery of their fair value could occur. The losses are included in net realized and unrealized (losses) gains on investments in the operating results presented below.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3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JRG Re's assets and liabilities held for sale at December 31, 2023 were comprised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2"/>
        </w:trPr>
        <w:tc>
          <w:tcPr>
            <w:tcW w:w="9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5"/>
        </w:trPr>
        <w:tc>
          <w:tcPr>
            <w:tcW w:w="9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9"/>
        </w:trPr>
        <w:tc>
          <w:tcPr>
            <w:tcW w:w="9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r>
      <w:tr>
        <w:trPr>
          <w:trHeight w:val="234"/>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8"/>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Invested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8"/>
        </w:trPr>
        <w:tc>
          <w:tcPr>
            <w:tcW w:w="9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maturity securities, at fair value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532,242</w:t>
            </w:r>
          </w:p>
        </w:tc>
      </w:tr>
      <w:tr>
        <w:trPr>
          <w:trHeight w:val="228"/>
        </w:trPr>
        <w:tc>
          <w:tcPr>
            <w:tcW w:w="9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22"/>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invested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535,021</w:t>
            </w:r>
          </w:p>
        </w:tc>
      </w:tr>
      <w:tr>
        <w:trPr>
          <w:trHeight w:val="228"/>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13,202</w:t>
            </w:r>
          </w:p>
        </w:tc>
      </w:tr>
      <w:tr>
        <w:trPr>
          <w:trHeight w:val="228"/>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r>
      <w:tr>
        <w:trPr>
          <w:trHeight w:val="228"/>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receivable and agents’ balances,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68,441</w:t>
            </w:r>
          </w:p>
        </w:tc>
      </w:tr>
      <w:tr>
        <w:trPr>
          <w:trHeight w:val="228"/>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recoverable on unpaid and paid losses,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234,615</w:t>
            </w:r>
          </w:p>
        </w:tc>
      </w:tr>
      <w:tr>
        <w:trPr>
          <w:trHeight w:val="228"/>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w:t>
            </w:r>
          </w:p>
        </w:tc>
      </w:tr>
      <w:tr>
        <w:trPr>
          <w:trHeight w:val="228"/>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down of JRG Re to fair value less cost to sell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(80,400)</w:t>
            </w:r>
          </w:p>
        </w:tc>
      </w:tr>
      <w:tr>
        <w:trPr>
          <w:trHeight w:val="228"/>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w:t>
            </w:r>
          </w:p>
        </w:tc>
      </w:tr>
      <w:tr>
        <w:trPr>
          <w:trHeight w:val="247"/>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783,393</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9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8"/>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8"/>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441,666</w:t>
            </w:r>
          </w:p>
        </w:tc>
      </w:tr>
      <w:tr>
        <w:trPr>
          <w:trHeight w:val="228"/>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w:t>
            </w:r>
          </w:p>
        </w:tc>
      </w:tr>
      <w:tr>
        <w:trPr>
          <w:trHeight w:val="228"/>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Funds held</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137,796</w:t>
            </w:r>
          </w:p>
        </w:tc>
      </w:tr>
      <w:tr>
        <w:trPr>
          <w:trHeight w:val="228"/>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reinsurance gain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33,167</w:t>
            </w:r>
          </w:p>
        </w:tc>
      </w:tr>
      <w:tr>
        <w:trPr>
          <w:trHeight w:val="228"/>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r>
      <w:tr>
        <w:trPr>
          <w:trHeight w:val="228"/>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w:t>
            </w:r>
          </w:p>
        </w:tc>
      </w:tr>
      <w:tr>
        <w:trPr>
          <w:trHeight w:val="222"/>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641,497</w:t>
            </w:r>
          </w:p>
        </w:tc>
      </w:tr>
      <w:tr>
        <w:trPr>
          <w:trHeight w:val="20"/>
        </w:trPr>
        <w:tc>
          <w:tcPr>
            <w:tcW w:w="9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3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operating results of JRG Re reported in discontinued operations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6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8"/>
        </w:trPr>
        <w:tc>
          <w:tcPr>
            <w:tcW w:w="6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190"/>
        </w:trPr>
        <w:tc>
          <w:tcPr>
            <w:tcW w:w="6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1,137</w:t>
            </w: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85,208</w:t>
            </w:r>
          </w:p>
        </w:tc>
        <w:tc>
          <w:tcPr>
            <w:tcW w:w="20" w:type="dxa"/>
            <w:vAlign w:val="bottom"/>
          </w:tcPr>
          <w:p>
            <w:pPr>
              <w:spacing w:after="0"/>
              <w:rPr>
                <w:sz w:val="19"/>
                <w:szCs w:val="19"/>
                <w:color w:val="auto"/>
              </w:rPr>
            </w:pPr>
          </w:p>
        </w:tc>
      </w:tr>
      <w:tr>
        <w:trPr>
          <w:trHeight w:val="228"/>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Ceded written premiums</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877</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20" w:type="dxa"/>
            <w:vAlign w:val="bottom"/>
          </w:tcPr>
          <w:p>
            <w:pPr>
              <w:spacing w:after="0"/>
              <w:rPr>
                <w:sz w:val="19"/>
                <w:szCs w:val="19"/>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83,033</w:t>
            </w:r>
          </w:p>
        </w:tc>
        <w:tc>
          <w:tcPr>
            <w:tcW w:w="20" w:type="dxa"/>
            <w:vAlign w:val="bottom"/>
          </w:tcPr>
          <w:p>
            <w:pPr>
              <w:spacing w:after="0"/>
              <w:rPr>
                <w:sz w:val="19"/>
                <w:szCs w:val="19"/>
                <w:color w:val="auto"/>
              </w:rPr>
            </w:pPr>
          </w:p>
        </w:tc>
      </w:tr>
      <w:tr>
        <w:trPr>
          <w:trHeight w:val="228"/>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8,371</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53,394</w:t>
            </w:r>
          </w:p>
        </w:tc>
        <w:tc>
          <w:tcPr>
            <w:tcW w:w="20" w:type="dxa"/>
            <w:vAlign w:val="bottom"/>
          </w:tcPr>
          <w:p>
            <w:pPr>
              <w:spacing w:after="0"/>
              <w:rPr>
                <w:sz w:val="19"/>
                <w:szCs w:val="19"/>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10,385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136,427</w:t>
            </w:r>
          </w:p>
        </w:tc>
        <w:tc>
          <w:tcPr>
            <w:tcW w:w="20" w:type="dxa"/>
            <w:vAlign w:val="bottom"/>
          </w:tcPr>
          <w:p>
            <w:pPr>
              <w:spacing w:after="0"/>
              <w:rPr>
                <w:sz w:val="19"/>
                <w:szCs w:val="19"/>
                <w:color w:val="auto"/>
              </w:rPr>
            </w:pPr>
          </w:p>
        </w:tc>
      </w:tr>
      <w:tr>
        <w:trPr>
          <w:trHeight w:val="22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4,432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27,923</w:t>
            </w:r>
          </w:p>
        </w:tc>
        <w:tc>
          <w:tcPr>
            <w:tcW w:w="20" w:type="dxa"/>
            <w:vAlign w:val="bottom"/>
          </w:tcPr>
          <w:p>
            <w:pPr>
              <w:spacing w:after="0"/>
              <w:rPr>
                <w:sz w:val="19"/>
                <w:szCs w:val="19"/>
                <w:color w:val="auto"/>
              </w:rPr>
            </w:pPr>
          </w:p>
        </w:tc>
      </w:tr>
      <w:tr>
        <w:trPr>
          <w:trHeight w:val="22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(9,472)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(53,693)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(12,598)</w:t>
            </w:r>
          </w:p>
        </w:tc>
        <w:tc>
          <w:tcPr>
            <w:tcW w:w="20" w:type="dxa"/>
            <w:vAlign w:val="bottom"/>
          </w:tcPr>
          <w:p>
            <w:pPr>
              <w:spacing w:after="0"/>
              <w:rPr>
                <w:sz w:val="19"/>
                <w:szCs w:val="19"/>
                <w:color w:val="auto"/>
              </w:rPr>
            </w:pPr>
          </w:p>
        </w:tc>
      </w:tr>
      <w:tr>
        <w:trPr>
          <w:trHeight w:val="22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 w:type="dxa"/>
            <w:vAlign w:val="bottom"/>
          </w:tcPr>
          <w:p>
            <w:pPr>
              <w:spacing w:after="0"/>
              <w:rPr>
                <w:sz w:val="19"/>
                <w:szCs w:val="19"/>
                <w:color w:val="auto"/>
              </w:rPr>
            </w:pPr>
          </w:p>
        </w:tc>
      </w:tr>
      <w:tr>
        <w:trPr>
          <w:trHeight w:val="222"/>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5,345</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64,754</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152,182</w:t>
            </w:r>
          </w:p>
        </w:tc>
        <w:tc>
          <w:tcPr>
            <w:tcW w:w="20" w:type="dxa"/>
            <w:vAlign w:val="bottom"/>
          </w:tcPr>
          <w:p>
            <w:pPr>
              <w:spacing w:after="0"/>
              <w:rPr>
                <w:sz w:val="19"/>
                <w:szCs w:val="19"/>
                <w:color w:val="auto"/>
              </w:rPr>
            </w:pPr>
          </w:p>
        </w:tc>
      </w:tr>
      <w:tr>
        <w:trPr>
          <w:trHeight w:val="22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13,157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120,294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104,172</w:t>
            </w:r>
          </w:p>
        </w:tc>
        <w:tc>
          <w:tcPr>
            <w:tcW w:w="20" w:type="dxa"/>
            <w:vAlign w:val="bottom"/>
          </w:tcPr>
          <w:p>
            <w:pPr>
              <w:spacing w:after="0"/>
              <w:rPr>
                <w:sz w:val="19"/>
                <w:szCs w:val="19"/>
                <w:color w:val="auto"/>
              </w:rPr>
            </w:pPr>
          </w:p>
        </w:tc>
      </w:tr>
      <w:tr>
        <w:trPr>
          <w:trHeight w:val="22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5,039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42,987</w:t>
            </w:r>
          </w:p>
        </w:tc>
        <w:tc>
          <w:tcPr>
            <w:tcW w:w="20" w:type="dxa"/>
            <w:vAlign w:val="bottom"/>
          </w:tcPr>
          <w:p>
            <w:pPr>
              <w:spacing w:after="0"/>
              <w:rPr>
                <w:sz w:val="19"/>
                <w:szCs w:val="19"/>
                <w:color w:val="auto"/>
              </w:rPr>
            </w:pPr>
          </w:p>
        </w:tc>
      </w:tr>
      <w:tr>
        <w:trPr>
          <w:trHeight w:val="22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20" w:type="dxa"/>
            <w:vAlign w:val="bottom"/>
          </w:tcPr>
          <w:p>
            <w:pPr>
              <w:spacing w:after="0"/>
              <w:rPr>
                <w:sz w:val="19"/>
                <w:szCs w:val="19"/>
                <w:color w:val="auto"/>
              </w:rPr>
            </w:pPr>
          </w:p>
        </w:tc>
      </w:tr>
      <w:tr>
        <w:trPr>
          <w:trHeight w:val="228"/>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20" w:type="dxa"/>
            <w:vAlign w:val="bottom"/>
          </w:tcPr>
          <w:p>
            <w:pPr>
              <w:spacing w:after="0"/>
              <w:rPr>
                <w:sz w:val="19"/>
                <w:szCs w:val="19"/>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18,928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153,247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156,067</w:t>
            </w:r>
          </w:p>
        </w:tc>
        <w:tc>
          <w:tcPr>
            <w:tcW w:w="20" w:type="dxa"/>
            <w:vAlign w:val="bottom"/>
          </w:tcPr>
          <w:p>
            <w:pPr>
              <w:spacing w:after="0"/>
              <w:rPr>
                <w:sz w:val="19"/>
                <w:szCs w:val="19"/>
                <w:color w:val="auto"/>
              </w:rPr>
            </w:pPr>
          </w:p>
        </w:tc>
      </w:tr>
      <w:tr>
        <w:trPr>
          <w:trHeight w:val="22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(13,583)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(88,493)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20" w:type="dxa"/>
            <w:vAlign w:val="bottom"/>
          </w:tcPr>
          <w:p>
            <w:pPr>
              <w:spacing w:after="0"/>
              <w:rPr>
                <w:sz w:val="19"/>
                <w:szCs w:val="19"/>
                <w:color w:val="auto"/>
              </w:rPr>
            </w:pPr>
          </w:p>
        </w:tc>
      </w:tr>
      <w:tr>
        <w:trPr>
          <w:trHeight w:val="22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discontinued operations</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(80,400)</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loss from discontinued operations</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(17,634)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(168,893)</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20" w:type="dxa"/>
            <w:vAlign w:val="bottom"/>
          </w:tcPr>
          <w:p>
            <w:pPr>
              <w:spacing w:after="0"/>
              <w:rPr>
                <w:sz w:val="19"/>
                <w:szCs w:val="19"/>
                <w:color w:val="auto"/>
              </w:rPr>
            </w:pPr>
          </w:p>
        </w:tc>
      </w:tr>
      <w:tr>
        <w:trPr>
          <w:trHeight w:val="20"/>
        </w:trPr>
        <w:tc>
          <w:tcPr>
            <w:tcW w:w="668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0"/>
        </w:trPr>
        <w:tc>
          <w:tcPr>
            <w:tcW w:w="8440" w:type="dxa"/>
            <w:vAlign w:val="bottom"/>
            <w:gridSpan w:val="8"/>
          </w:tcPr>
          <w:p>
            <w:pPr>
              <w:ind w:left="380"/>
              <w:spacing w:after="0"/>
              <w:rPr>
                <w:sz w:val="20"/>
                <w:szCs w:val="20"/>
                <w:color w:val="auto"/>
              </w:rPr>
            </w:pPr>
            <w:r>
              <w:rPr>
                <w:rFonts w:ascii="Times New Roman" w:cs="Times New Roman" w:eastAsia="Times New Roman" w:hAnsi="Times New Roman"/>
                <w:sz w:val="18"/>
                <w:szCs w:val="18"/>
                <w:color w:val="auto"/>
                <w:w w:val="99"/>
              </w:rPr>
              <w:t>Cash flows from discontinued operations included in the consolidated statements of cash flows were as follows:</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6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
        </w:trPr>
        <w:tc>
          <w:tcPr>
            <w:tcW w:w="66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8"/>
        </w:trPr>
        <w:tc>
          <w:tcPr>
            <w:tcW w:w="66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r>
      <w:tr>
        <w:trPr>
          <w:trHeight w:val="190"/>
        </w:trPr>
        <w:tc>
          <w:tcPr>
            <w:tcW w:w="6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06"/>
        </w:trPr>
        <w:tc>
          <w:tcPr>
            <w:tcW w:w="660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r>
      <w:tr>
        <w:trPr>
          <w:trHeight w:val="22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 of discontinued operations</w:t>
            </w:r>
          </w:p>
        </w:tc>
        <w:tc>
          <w:tcPr>
            <w:tcW w:w="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(25,115)</w:t>
            </w:r>
          </w:p>
        </w:tc>
        <w:tc>
          <w:tcPr>
            <w:tcW w:w="8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(25,122)</w:t>
            </w:r>
          </w:p>
        </w:tc>
      </w:tr>
      <w:tr>
        <w:trPr>
          <w:trHeight w:val="228"/>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 of discontinued operations</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63,104</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115,145</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20" w:type="dxa"/>
            <w:vAlign w:val="bottom"/>
            <w:tcBorders>
              <w:bottom w:val="single" w:sz="8" w:color="auto"/>
            </w:tcBorders>
          </w:tcPr>
          <w:p>
            <w:pPr>
              <w:spacing w:after="0"/>
              <w:rPr>
                <w:sz w:val="19"/>
                <w:szCs w:val="19"/>
                <w:color w:val="auto"/>
              </w:rPr>
            </w:pPr>
          </w:p>
        </w:tc>
      </w:tr>
      <w:tr>
        <w:trPr>
          <w:trHeight w:val="24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discontinued operations</w:t>
            </w: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37,989</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(16,625)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3"/>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202"/>
        </w:trPr>
        <w:tc>
          <w:tcPr>
            <w:tcW w:w="66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Interest paid by discontinued operations</w:t>
            </w:r>
          </w:p>
        </w:tc>
        <w:tc>
          <w:tcPr>
            <w:tcW w:w="380" w:type="dxa"/>
            <w:vAlign w:val="bottom"/>
            <w:tcBorders>
              <w:top w:val="single" w:sz="8" w:color="auto"/>
              <w:bottom w:val="single" w:sz="8" w:color="auto"/>
            </w:tcBorders>
            <w:gridSpan w:val="2"/>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1,388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3,951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2,578</w:t>
            </w:r>
          </w:p>
        </w:tc>
        <w:tc>
          <w:tcPr>
            <w:tcW w:w="20" w:type="dxa"/>
            <w:vAlign w:val="bottom"/>
            <w:tcBorders>
              <w:top w:val="single" w:sz="8" w:color="auto"/>
              <w:bottom w:val="single" w:sz="8" w:color="auto"/>
            </w:tcBorders>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309" w:lineRule="exact"/>
        <w:rPr>
          <w:sz w:val="20"/>
          <w:szCs w:val="20"/>
          <w:color w:val="auto"/>
        </w:rPr>
      </w:pPr>
    </w:p>
    <w:p>
      <w:pPr>
        <w:ind w:left="320" w:hanging="313"/>
        <w:spacing w:after="0"/>
        <w:tabs>
          <w:tab w:leader="none" w:pos="3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1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available-for-sale fixed maturity securities are summarized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2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3"/>
                <w:szCs w:val="13"/>
                <w:color w:val="auto"/>
              </w:rPr>
            </w:pPr>
          </w:p>
        </w:tc>
        <w:tc>
          <w:tcPr>
            <w:tcW w:w="102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6"/>
        </w:trPr>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196,564</w:t>
            </w:r>
          </w:p>
        </w:tc>
        <w:tc>
          <w:tcPr>
            <w:tcW w:w="0" w:type="dxa"/>
            <w:vAlign w:val="bottom"/>
          </w:tcPr>
          <w:p>
            <w:pPr>
              <w:spacing w:after="0"/>
              <w:rPr>
                <w:sz w:val="1"/>
                <w:szCs w:val="1"/>
                <w:color w:val="auto"/>
              </w:rPr>
            </w:pPr>
          </w:p>
        </w:tc>
      </w:tr>
      <w:tr>
        <w:trPr>
          <w:trHeight w:val="228"/>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326,227</w:t>
            </w:r>
          </w:p>
        </w:tc>
        <w:tc>
          <w:tcPr>
            <w:tcW w:w="0" w:type="dxa"/>
            <w:vAlign w:val="bottom"/>
          </w:tcPr>
          <w:p>
            <w:pPr>
              <w:spacing w:after="0"/>
              <w:rPr>
                <w:sz w:val="1"/>
                <w:szCs w:val="1"/>
                <w:color w:val="auto"/>
              </w:rPr>
            </w:pPr>
          </w:p>
        </w:tc>
      </w:tr>
      <w:tr>
        <w:trPr>
          <w:trHeight w:val="228"/>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475,485</w:t>
            </w:r>
          </w:p>
        </w:tc>
        <w:tc>
          <w:tcPr>
            <w:tcW w:w="0" w:type="dxa"/>
            <w:vAlign w:val="bottom"/>
          </w:tcPr>
          <w:p>
            <w:pPr>
              <w:spacing w:after="0"/>
              <w:rPr>
                <w:sz w:val="1"/>
                <w:szCs w:val="1"/>
                <w:color w:val="auto"/>
              </w:rPr>
            </w:pPr>
          </w:p>
        </w:tc>
      </w:tr>
      <w:tr>
        <w:trPr>
          <w:trHeight w:val="228"/>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170,458</w:t>
            </w:r>
          </w:p>
        </w:tc>
        <w:tc>
          <w:tcPr>
            <w:tcW w:w="0" w:type="dxa"/>
            <w:vAlign w:val="bottom"/>
          </w:tcPr>
          <w:p>
            <w:pPr>
              <w:spacing w:after="0"/>
              <w:rPr>
                <w:sz w:val="1"/>
                <w:szCs w:val="1"/>
                <w:color w:val="auto"/>
              </w:rPr>
            </w:pPr>
          </w:p>
        </w:tc>
      </w:tr>
      <w:tr>
        <w:trPr>
          <w:trHeight w:val="175"/>
        </w:trPr>
        <w:tc>
          <w:tcPr>
            <w:tcW w:w="558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government</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0" w:type="dxa"/>
            <w:vAlign w:val="bottom"/>
          </w:tcPr>
          <w:p>
            <w:pPr>
              <w:spacing w:after="0"/>
              <w:rPr>
                <w:sz w:val="1"/>
                <w:szCs w:val="1"/>
                <w:color w:val="auto"/>
              </w:rPr>
            </w:pPr>
          </w:p>
        </w:tc>
      </w:tr>
      <w:tr>
        <w:trPr>
          <w:trHeight w:val="222"/>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1,278,337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1,189,733</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248,837</w:t>
            </w:r>
          </w:p>
        </w:tc>
        <w:tc>
          <w:tcPr>
            <w:tcW w:w="0" w:type="dxa"/>
            <w:vAlign w:val="bottom"/>
          </w:tcPr>
          <w:p>
            <w:pPr>
              <w:spacing w:after="0"/>
              <w:rPr>
                <w:sz w:val="1"/>
                <w:szCs w:val="1"/>
                <w:color w:val="auto"/>
              </w:rPr>
            </w:pPr>
          </w:p>
        </w:tc>
      </w:tr>
      <w:tr>
        <w:trPr>
          <w:trHeight w:val="228"/>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317,928</w:t>
            </w:r>
          </w:p>
        </w:tc>
        <w:tc>
          <w:tcPr>
            <w:tcW w:w="0" w:type="dxa"/>
            <w:vAlign w:val="bottom"/>
          </w:tcPr>
          <w:p>
            <w:pPr>
              <w:spacing w:after="0"/>
              <w:rPr>
                <w:sz w:val="1"/>
                <w:szCs w:val="1"/>
                <w:color w:val="auto"/>
              </w:rPr>
            </w:pPr>
          </w:p>
        </w:tc>
      </w:tr>
      <w:tr>
        <w:trPr>
          <w:trHeight w:val="228"/>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505,728</w:t>
            </w:r>
          </w:p>
        </w:tc>
        <w:tc>
          <w:tcPr>
            <w:tcW w:w="0" w:type="dxa"/>
            <w:vAlign w:val="bottom"/>
          </w:tcPr>
          <w:p>
            <w:pPr>
              <w:spacing w:after="0"/>
              <w:rPr>
                <w:sz w:val="1"/>
                <w:szCs w:val="1"/>
                <w:color w:val="auto"/>
              </w:rPr>
            </w:pPr>
          </w:p>
        </w:tc>
      </w:tr>
      <w:tr>
        <w:trPr>
          <w:trHeight w:val="228"/>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222,853</w:t>
            </w:r>
          </w:p>
        </w:tc>
        <w:tc>
          <w:tcPr>
            <w:tcW w:w="0" w:type="dxa"/>
            <w:vAlign w:val="bottom"/>
          </w:tcPr>
          <w:p>
            <w:pPr>
              <w:spacing w:after="0"/>
              <w:rPr>
                <w:sz w:val="1"/>
                <w:szCs w:val="1"/>
                <w:color w:val="auto"/>
              </w:rPr>
            </w:pPr>
          </w:p>
        </w:tc>
      </w:tr>
      <w:tr>
        <w:trPr>
          <w:trHeight w:val="175"/>
        </w:trPr>
        <w:tc>
          <w:tcPr>
            <w:tcW w:w="558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government</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29,130</w:t>
            </w:r>
          </w:p>
        </w:tc>
        <w:tc>
          <w:tcPr>
            <w:tcW w:w="0" w:type="dxa"/>
            <w:vAlign w:val="bottom"/>
          </w:tcPr>
          <w:p>
            <w:pPr>
              <w:spacing w:after="0"/>
              <w:rPr>
                <w:sz w:val="1"/>
                <w:szCs w:val="1"/>
                <w:color w:val="auto"/>
              </w:rPr>
            </w:pPr>
          </w:p>
        </w:tc>
      </w:tr>
      <w:tr>
        <w:trPr>
          <w:trHeight w:val="222"/>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1,405,136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(87,990)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1,324,476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220" w:firstLine="323"/>
        <w:spacing w:after="0" w:line="280" w:lineRule="auto"/>
        <w:rPr>
          <w:sz w:val="20"/>
          <w:szCs w:val="20"/>
          <w:color w:val="auto"/>
        </w:rPr>
      </w:pPr>
      <w:r>
        <w:rPr>
          <w:rFonts w:ascii="Times New Roman" w:cs="Times New Roman" w:eastAsia="Times New Roman" w:hAnsi="Times New Roman"/>
          <w:sz w:val="18"/>
          <w:szCs w:val="18"/>
          <w:color w:val="auto"/>
        </w:rPr>
        <w:t>The amortized cost and fair value of available-for-sale investments in fixed maturity securities at December 31, 2024 are summarized, by contractual maturity,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440" w:type="dxa"/>
            <w:vAlign w:val="bottom"/>
          </w:tcPr>
          <w:p>
            <w:pPr>
              <w:spacing w:after="0"/>
              <w:rPr>
                <w:sz w:val="13"/>
                <w:szCs w:val="13"/>
                <w:color w:val="auto"/>
              </w:rPr>
            </w:pPr>
          </w:p>
        </w:tc>
        <w:tc>
          <w:tcPr>
            <w:tcW w:w="90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8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4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8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or less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0" w:type="dxa"/>
            <w:vAlign w:val="bottom"/>
          </w:tcPr>
          <w:p>
            <w:pPr>
              <w:spacing w:after="0"/>
              <w:rPr>
                <w:sz w:val="1"/>
                <w:szCs w:val="1"/>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318,588</w:t>
            </w:r>
          </w:p>
        </w:tc>
        <w:tc>
          <w:tcPr>
            <w:tcW w:w="0" w:type="dxa"/>
            <w:vAlign w:val="bottom"/>
          </w:tcPr>
          <w:p>
            <w:pPr>
              <w:spacing w:after="0"/>
              <w:rPr>
                <w:sz w:val="1"/>
                <w:szCs w:val="1"/>
                <w:color w:val="auto"/>
              </w:rPr>
            </w:pPr>
          </w:p>
        </w:tc>
      </w:tr>
      <w:tr>
        <w:trPr>
          <w:trHeight w:val="228"/>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227,714</w:t>
            </w:r>
          </w:p>
        </w:tc>
        <w:tc>
          <w:tcPr>
            <w:tcW w:w="0" w:type="dxa"/>
            <w:vAlign w:val="bottom"/>
          </w:tcPr>
          <w:p>
            <w:pPr>
              <w:spacing w:after="0"/>
              <w:rPr>
                <w:sz w:val="1"/>
                <w:szCs w:val="1"/>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ten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123,396</w:t>
            </w:r>
          </w:p>
        </w:tc>
        <w:tc>
          <w:tcPr>
            <w:tcW w:w="0" w:type="dxa"/>
            <w:vAlign w:val="bottom"/>
          </w:tcPr>
          <w:p>
            <w:pPr>
              <w:spacing w:after="0"/>
              <w:rPr>
                <w:sz w:val="1"/>
                <w:szCs w:val="1"/>
                <w:color w:val="auto"/>
              </w:rPr>
            </w:pPr>
          </w:p>
        </w:tc>
      </w:tr>
      <w:tr>
        <w:trPr>
          <w:trHeight w:val="228"/>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326,227</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178,238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170,458</w:t>
            </w:r>
          </w:p>
        </w:tc>
        <w:tc>
          <w:tcPr>
            <w:tcW w:w="0" w:type="dxa"/>
            <w:vAlign w:val="bottom"/>
          </w:tcPr>
          <w:p>
            <w:pPr>
              <w:spacing w:after="0"/>
              <w:rPr>
                <w:sz w:val="1"/>
                <w:szCs w:val="1"/>
                <w:color w:val="auto"/>
              </w:rPr>
            </w:pPr>
          </w:p>
        </w:tc>
      </w:tr>
      <w:tr>
        <w:trPr>
          <w:trHeight w:val="247"/>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1,189,733</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Actual maturities may differ for some securities because borrowers have the right to call or prepay obligations with or without penalties.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right="40" w:firstLine="323"/>
        <w:spacing w:after="0" w:line="280" w:lineRule="auto"/>
        <w:rPr>
          <w:sz w:val="20"/>
          <w:szCs w:val="20"/>
          <w:color w:val="auto"/>
        </w:rPr>
      </w:pPr>
      <w:r>
        <w:rPr>
          <w:rFonts w:ascii="Times New Roman" w:cs="Times New Roman" w:eastAsia="Times New Roman" w:hAnsi="Times New Roman"/>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16"/>
                <w:szCs w:val="16"/>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2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4"/>
              <w:spacing w:after="0" w:line="130"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4"/>
              <w:spacing w:after="0" w:line="130"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4"/>
              <w:spacing w:after="0" w:line="130"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46"/>
        </w:trPr>
        <w:tc>
          <w:tcPr>
            <w:tcW w:w="4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4"/>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6"/>
        </w:trPr>
        <w:tc>
          <w:tcPr>
            <w:tcW w:w="4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0" w:type="dxa"/>
            <w:vAlign w:val="bottom"/>
          </w:tcPr>
          <w:p>
            <w:pPr>
              <w:spacing w:after="0"/>
              <w:rPr>
                <w:sz w:val="1"/>
                <w:szCs w:val="1"/>
                <w:color w:val="auto"/>
              </w:rPr>
            </w:pPr>
          </w:p>
        </w:tc>
      </w:tr>
      <w:tr>
        <w:trPr>
          <w:trHeight w:val="195"/>
        </w:trPr>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 and municipal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(27,043)</w:t>
            </w:r>
          </w:p>
        </w:tc>
        <w:tc>
          <w:tcPr>
            <w:tcW w:w="0" w:type="dxa"/>
            <w:vAlign w:val="bottom"/>
          </w:tcPr>
          <w:p>
            <w:pPr>
              <w:spacing w:after="0"/>
              <w:rPr>
                <w:sz w:val="1"/>
                <w:szCs w:val="1"/>
                <w:color w:val="auto"/>
              </w:rPr>
            </w:pPr>
          </w:p>
        </w:tc>
      </w:tr>
      <w:tr>
        <w:trPr>
          <w:trHeight w:val="228"/>
        </w:trPr>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(25,869)</w:t>
            </w:r>
          </w:p>
        </w:tc>
        <w:tc>
          <w:tcPr>
            <w:tcW w:w="0" w:type="dxa"/>
            <w:vAlign w:val="bottom"/>
          </w:tcPr>
          <w:p>
            <w:pPr>
              <w:spacing w:after="0"/>
              <w:rPr>
                <w:sz w:val="1"/>
                <w:szCs w:val="1"/>
                <w:color w:val="auto"/>
              </w:rPr>
            </w:pPr>
          </w:p>
        </w:tc>
      </w:tr>
      <w:tr>
        <w:trPr>
          <w:trHeight w:val="228"/>
        </w:trPr>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(29,483)</w:t>
            </w:r>
          </w:p>
        </w:tc>
        <w:tc>
          <w:tcPr>
            <w:tcW w:w="0" w:type="dxa"/>
            <w:vAlign w:val="bottom"/>
          </w:tcPr>
          <w:p>
            <w:pPr>
              <w:spacing w:after="0"/>
              <w:rPr>
                <w:sz w:val="1"/>
                <w:szCs w:val="1"/>
                <w:color w:val="auto"/>
              </w:rPr>
            </w:pPr>
          </w:p>
        </w:tc>
      </w:tr>
      <w:tr>
        <w:trPr>
          <w:trHeight w:val="228"/>
        </w:trPr>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0" w:type="dxa"/>
            <w:vAlign w:val="bottom"/>
          </w:tcPr>
          <w:p>
            <w:pPr>
              <w:spacing w:after="0"/>
              <w:rPr>
                <w:sz w:val="1"/>
                <w:szCs w:val="1"/>
                <w:color w:val="auto"/>
              </w:rPr>
            </w:pPr>
          </w:p>
        </w:tc>
      </w:tr>
      <w:tr>
        <w:trPr>
          <w:trHeight w:val="175"/>
        </w:trPr>
        <w:tc>
          <w:tcPr>
            <w:tcW w:w="410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8"/>
                <w:szCs w:val="18"/>
                <w:color w:val="auto"/>
              </w:rPr>
              <w:t>U.S. Treasury securities and obligations guaranteed</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by the U.S. government</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2"/>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621,786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(79,873)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1,012,365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(90,706)</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 and municipal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(26,459)</w:t>
            </w:r>
          </w:p>
        </w:tc>
        <w:tc>
          <w:tcPr>
            <w:tcW w:w="0" w:type="dxa"/>
            <w:vAlign w:val="bottom"/>
          </w:tcPr>
          <w:p>
            <w:pPr>
              <w:spacing w:after="0"/>
              <w:rPr>
                <w:sz w:val="1"/>
                <w:szCs w:val="1"/>
                <w:color w:val="auto"/>
              </w:rPr>
            </w:pPr>
          </w:p>
        </w:tc>
      </w:tr>
      <w:tr>
        <w:trPr>
          <w:trHeight w:val="228"/>
        </w:trPr>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(19,379)</w:t>
            </w:r>
          </w:p>
        </w:tc>
        <w:tc>
          <w:tcPr>
            <w:tcW w:w="0" w:type="dxa"/>
            <w:vAlign w:val="bottom"/>
          </w:tcPr>
          <w:p>
            <w:pPr>
              <w:spacing w:after="0"/>
              <w:rPr>
                <w:sz w:val="1"/>
                <w:szCs w:val="1"/>
                <w:color w:val="auto"/>
              </w:rPr>
            </w:pPr>
          </w:p>
        </w:tc>
      </w:tr>
      <w:tr>
        <w:trPr>
          <w:trHeight w:val="228"/>
        </w:trPr>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(28,847)</w:t>
            </w:r>
          </w:p>
        </w:tc>
        <w:tc>
          <w:tcPr>
            <w:tcW w:w="0" w:type="dxa"/>
            <w:vAlign w:val="bottom"/>
          </w:tcPr>
          <w:p>
            <w:pPr>
              <w:spacing w:after="0"/>
              <w:rPr>
                <w:sz w:val="1"/>
                <w:szCs w:val="1"/>
                <w:color w:val="auto"/>
              </w:rPr>
            </w:pPr>
          </w:p>
        </w:tc>
      </w:tr>
      <w:tr>
        <w:trPr>
          <w:trHeight w:val="228"/>
        </w:trPr>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0" w:type="dxa"/>
            <w:vAlign w:val="bottom"/>
          </w:tcPr>
          <w:p>
            <w:pPr>
              <w:spacing w:after="0"/>
              <w:rPr>
                <w:sz w:val="1"/>
                <w:szCs w:val="1"/>
                <w:color w:val="auto"/>
              </w:rPr>
            </w:pPr>
          </w:p>
        </w:tc>
      </w:tr>
      <w:tr>
        <w:trPr>
          <w:trHeight w:val="175"/>
        </w:trPr>
        <w:tc>
          <w:tcPr>
            <w:tcW w:w="410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8"/>
                <w:szCs w:val="18"/>
                <w:color w:val="auto"/>
              </w:rPr>
              <w:t>U.S. Treasury securities and obligations guaranteed</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by the U.S. government</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22"/>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186,672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806,963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993,635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(87,990)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right="420" w:firstLine="323"/>
        <w:spacing w:after="0" w:line="255" w:lineRule="auto"/>
        <w:rPr>
          <w:sz w:val="20"/>
          <w:szCs w:val="20"/>
          <w:color w:val="auto"/>
        </w:rPr>
      </w:pPr>
      <w:r>
        <w:rPr>
          <w:rFonts w:ascii="Times New Roman" w:cs="Times New Roman" w:eastAsia="Times New Roman" w:hAnsi="Times New Roman"/>
          <w:sz w:val="18"/>
          <w:szCs w:val="18"/>
          <w:color w:val="auto"/>
        </w:rPr>
        <w:t>At December 31, 2024, the Company held fixed maturity securities of 423 issuers that were in an unrealized loss position with a total fair value of $1,012.4 million and gross unrealized losses of $90.7 million. None of the fixed maturity securities with unrealized losses has ever missed, or been delinquent on, a scheduled principal or interest payment. At December 31, 2024, 100.0% of the Company’s fixed maturity security portfolio was rated “BBB-” or better (“investment grade”) by Standard &amp; Poor’s or received an equivalent rating from another nationally recognized rating agency. At December 31, 2024 there were no fixed maturity securities with ratings below investment grade by Standard &amp; Poor's or another nationally recognized rating agency.</w:t>
      </w:r>
    </w:p>
    <w:p>
      <w:pPr>
        <w:spacing w:after="0" w:line="78" w:lineRule="exact"/>
        <w:rPr>
          <w:sz w:val="20"/>
          <w:szCs w:val="20"/>
          <w:color w:val="auto"/>
        </w:rPr>
      </w:pPr>
    </w:p>
    <w:p>
      <w:pPr>
        <w:jc w:val="both"/>
        <w:ind w:right="80" w:firstLine="363"/>
        <w:spacing w:after="0" w:line="259" w:lineRule="auto"/>
        <w:rPr>
          <w:sz w:val="20"/>
          <w:szCs w:val="20"/>
          <w:color w:val="auto"/>
        </w:rPr>
      </w:pPr>
      <w:r>
        <w:rPr>
          <w:rFonts w:ascii="Times New Roman" w:cs="Times New Roman" w:eastAsia="Times New Roman" w:hAnsi="Times New Roman"/>
          <w:sz w:val="18"/>
          <w:szCs w:val="18"/>
          <w:color w:val="auto"/>
        </w:rPr>
        <w:t>The Company periodically reviews its available-for-sale fixed maturities to determine whether any unrealized losses exist that are due to credit-related factors. An allowance for credit losses is established for any credit-related impairments, limited to the amount by which fair value is below amortized cost. Changes in the allowance for credit losses are recognized in earnings and included in net realized and unrealized gains (losses) on investments. Unrealized losses that are not credit-related are recognized in other comprehensive income.</w:t>
      </w:r>
    </w:p>
    <w:p>
      <w:pPr>
        <w:spacing w:after="0" w:line="74" w:lineRule="exact"/>
        <w:rPr>
          <w:sz w:val="20"/>
          <w:szCs w:val="20"/>
          <w:color w:val="auto"/>
        </w:rPr>
      </w:pPr>
    </w:p>
    <w:p>
      <w:pPr>
        <w:ind w:right="20" w:firstLine="363"/>
        <w:spacing w:after="0" w:line="252" w:lineRule="auto"/>
        <w:rPr>
          <w:sz w:val="20"/>
          <w:szCs w:val="20"/>
          <w:color w:val="auto"/>
        </w:rPr>
      </w:pPr>
      <w:r>
        <w:rPr>
          <w:rFonts w:ascii="Times New Roman" w:cs="Times New Roman" w:eastAsia="Times New Roman" w:hAnsi="Times New Roman"/>
          <w:sz w:val="18"/>
          <w:szCs w:val="18"/>
          <w:color w:val="auto"/>
        </w:rPr>
        <w:t>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expected cash flows equals or exceeds a security's amortized cost. As a result of this review, management concluded that there were no credit-related impairments of fixed maturities at December 31, 2024 or December 31, 2023. During the year ended December 31, 2024, management recognized an impairment loss of $207,000 for one fixed maturity security due to the Company's inability to hold the security until a recovery in its value to the amortized cost basis. For the remainder of securities in an unrealized loss position, management does not intend to sell the securities and it is not "more likely than not" that the Company will be required to sell these securities before a recovery in their value to their amortized cost basis occurs.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firstLine="363"/>
        <w:spacing w:after="0" w:line="259" w:lineRule="auto"/>
        <w:rPr>
          <w:sz w:val="20"/>
          <w:szCs w:val="20"/>
          <w:color w:val="auto"/>
        </w:rPr>
      </w:pPr>
      <w:r>
        <w:rPr>
          <w:rFonts w:ascii="Times New Roman" w:cs="Times New Roman" w:eastAsia="Times New Roman" w:hAnsi="Times New Roman"/>
          <w:sz w:val="18"/>
          <w:szCs w:val="18"/>
          <w:color w:val="auto"/>
        </w:rPr>
        <w:t>The Company elected the fair value option to account for bank loan participations. Under the fair value option, bank loan participations are measured at fair value, and changes in unrealized gains and losses in bank loan participations are reported in our income statement as net realized and unrealized gains (losses) on investments. Applying the fair value option to the bank loan portfolio increases volatility in the Company's financial statements, but management believes it is less subjective and less burdensome to implement and maintain than ASU 2016-13, which would have otherwise been required.</w:t>
      </w:r>
    </w:p>
    <w:p>
      <w:pPr>
        <w:spacing w:after="0" w:line="74" w:lineRule="exact"/>
        <w:rPr>
          <w:sz w:val="20"/>
          <w:szCs w:val="20"/>
          <w:color w:val="auto"/>
        </w:rPr>
      </w:pPr>
    </w:p>
    <w:p>
      <w:pPr>
        <w:ind w:right="40" w:firstLine="363"/>
        <w:spacing w:after="0" w:line="253" w:lineRule="auto"/>
        <w:rPr>
          <w:sz w:val="20"/>
          <w:szCs w:val="20"/>
          <w:color w:val="auto"/>
        </w:rPr>
      </w:pPr>
      <w:r>
        <w:rPr>
          <w:rFonts w:ascii="Times New Roman" w:cs="Times New Roman" w:eastAsia="Times New Roman" w:hAnsi="Times New Roman"/>
          <w:sz w:val="18"/>
          <w:szCs w:val="18"/>
          <w:color w:val="auto"/>
        </w:rPr>
        <w:t>At December 31, 2024, the Company's bank loan portfolio had an aggregate unpaid principal balance of $149.4 million and an aggregate fair value of $142.4 million. Investment income on bank loan participations included in net investment income was $17.0 million, $12.0 million, $4.3 million during the years ended December 31, 2024, 2023, and 2022, respectively. Net realized and unrealized gains (losses) on investments includes losses of $620,000, gains of $9.0 million, and losses of $5.4 million related to changes in unrealized gains and losses on bank loan participations for the years ended December 31, 2024, 2023, and 2022, respectively. Management concluded that $3.3 million, $397,000, and $574,000 of the net realized and unrealized gains (losses) were due to credit-related impairments for the years ended December 31, 2024, 2023, and 2022, respectively. Losses due to credit-related impairments were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spacing w:after="0" w:line="82" w:lineRule="exact"/>
        <w:rPr>
          <w:sz w:val="20"/>
          <w:szCs w:val="20"/>
          <w:color w:val="auto"/>
        </w:rPr>
      </w:pPr>
    </w:p>
    <w:p>
      <w:pPr>
        <w:ind w:right="40" w:firstLine="363"/>
        <w:spacing w:after="0" w:line="255" w:lineRule="auto"/>
        <w:rPr>
          <w:sz w:val="20"/>
          <w:szCs w:val="20"/>
          <w:color w:val="auto"/>
        </w:rPr>
      </w:pPr>
      <w:r>
        <w:rPr>
          <w:rFonts w:ascii="Times New Roman" w:cs="Times New Roman" w:eastAsia="Times New Roman" w:hAnsi="Times New Roman"/>
          <w:sz w:val="18"/>
          <w:szCs w:val="18"/>
          <w:color w:val="auto"/>
        </w:rPr>
        <w:t>Bank loan participations generally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78" w:lineRule="exact"/>
        <w:rPr>
          <w:sz w:val="20"/>
          <w:szCs w:val="20"/>
          <w:color w:val="auto"/>
        </w:rPr>
      </w:pPr>
    </w:p>
    <w:p>
      <w:pPr>
        <w:ind w:right="20" w:firstLine="363"/>
        <w:spacing w:after="0" w:line="254" w:lineRule="auto"/>
        <w:rPr>
          <w:sz w:val="20"/>
          <w:szCs w:val="20"/>
          <w:color w:val="auto"/>
        </w:rPr>
      </w:pPr>
      <w:r>
        <w:rPr>
          <w:rFonts w:ascii="Times New Roman" w:cs="Times New Roman" w:eastAsia="Times New Roman" w:hAnsi="Times New Roman"/>
          <w:sz w:val="18"/>
          <w:szCs w:val="18"/>
          <w:color w:val="auto"/>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December 31, 2024 or 2023.</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Major categories of the Company’s net investment income are summarized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80" w:type="dxa"/>
            <w:vAlign w:val="bottom"/>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48,262</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invested assets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restricted cash equivalents, and short-term investments</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19,249</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96,782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93,089</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84,046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F-22</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1"/>
        </w:trPr>
        <w:tc>
          <w:tcPr>
            <w:tcW w:w="70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70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net realized and unrealized gains and losses on investments are summarized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6"/>
          </w:tcPr>
          <w:p>
            <w:pPr>
              <w:jc w:val="center"/>
              <w:ind w:left="6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5"/>
        </w:trPr>
        <w:tc>
          <w:tcPr>
            <w:tcW w:w="7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r>
      <w:tr>
        <w:trPr>
          <w:trHeight w:val="228"/>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2"/>
        </w:trPr>
        <w:tc>
          <w:tcPr>
            <w:tcW w:w="7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8"/>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28"/>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28"/>
        </w:trPr>
        <w:tc>
          <w:tcPr>
            <w:tcW w:w="7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in fair values of equity securities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(11,685)</w:t>
            </w:r>
          </w:p>
        </w:tc>
      </w:tr>
      <w:tr>
        <w:trPr>
          <w:trHeight w:val="222"/>
        </w:trPr>
        <w:tc>
          <w:tcPr>
            <w:tcW w:w="7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8"/>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8"/>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8"/>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fair values of bank loan participations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w:t>
            </w:r>
          </w:p>
        </w:tc>
      </w:tr>
      <w:tr>
        <w:trPr>
          <w:trHeight w:val="222"/>
        </w:trPr>
        <w:tc>
          <w:tcPr>
            <w:tcW w:w="7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 and other: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8"/>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8"/>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fair values of short-term investments and other</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0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2"/>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(15,720)</w:t>
            </w: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The change in the Company’s available-for-sale fixed maturity gross unrealized net losses was $(7.9) million, $30.4 million and $(131.4) million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right="160" w:firstLine="363"/>
        <w:spacing w:after="0" w:line="280" w:lineRule="auto"/>
        <w:rPr>
          <w:sz w:val="20"/>
          <w:szCs w:val="20"/>
          <w:color w:val="auto"/>
        </w:rPr>
      </w:pPr>
      <w:r>
        <w:rPr>
          <w:rFonts w:ascii="Times New Roman" w:cs="Times New Roman" w:eastAsia="Times New Roman" w:hAnsi="Times New Roman"/>
          <w:sz w:val="18"/>
          <w:szCs w:val="18"/>
          <w:color w:val="auto"/>
        </w:rPr>
        <w:t>The Company invests selectively in private debt and equity opportunities. These investments, which together comprise the Company’s other invested assets, are primarily focused in renewable energy, limited partnerships, and bank holding companies.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4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6"/>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4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80" w:type="dxa"/>
            <w:vAlign w:val="bottom"/>
            <w:gridSpan w:val="6"/>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5"/>
                <w:szCs w:val="15"/>
                <w:color w:val="auto"/>
              </w:rPr>
            </w:pPr>
          </w:p>
        </w:tc>
      </w:tr>
      <w:tr>
        <w:trPr>
          <w:trHeight w:val="190"/>
        </w:trPr>
        <w:tc>
          <w:tcPr>
            <w:tcW w:w="4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4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4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Renewable energy LLCs </w:t>
            </w:r>
            <w:r>
              <w:rPr>
                <w:rFonts w:ascii="Times New Roman" w:cs="Times New Roman" w:eastAsia="Times New Roman" w:hAnsi="Times New Roman"/>
                <w:sz w:val="18"/>
                <w:szCs w:val="18"/>
                <w:i w:val="1"/>
                <w:iCs w:val="1"/>
                <w:color w:val="auto"/>
              </w:rPr>
              <w:t>(a)</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480" w:type="dxa"/>
            <w:vAlign w:val="bottom"/>
            <w:gridSpan w:val="3"/>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r>
      <w:tr>
        <w:trPr>
          <w:trHeight w:val="228"/>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22"/>
        </w:trPr>
        <w:tc>
          <w:tcPr>
            <w:tcW w:w="4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w:t>
            </w:r>
          </w:p>
        </w:tc>
      </w:tr>
      <w:tr>
        <w:trPr>
          <w:trHeight w:val="22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energy notes receivable (</w:t>
            </w:r>
            <w:r>
              <w:rPr>
                <w:rFonts w:ascii="Times New Roman" w:cs="Times New Roman" w:eastAsia="Times New Roman" w:hAnsi="Times New Roman"/>
                <w:sz w:val="18"/>
                <w:szCs w:val="18"/>
                <w:i w:val="1"/>
                <w:iCs w:val="1"/>
                <w:color w:val="auto"/>
              </w:rPr>
              <w:t>b)</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8"/>
        </w:trPr>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8"/>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2"/>
        </w:trPr>
        <w:tc>
          <w:tcPr>
            <w:tcW w:w="4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2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Limited partnerships </w:t>
            </w:r>
            <w:r>
              <w:rPr>
                <w:rFonts w:ascii="Times New Roman" w:cs="Times New Roman" w:eastAsia="Times New Roman" w:hAnsi="Times New Roman"/>
                <w:sz w:val="18"/>
                <w:szCs w:val="18"/>
                <w:i w:val="1"/>
                <w:iCs w:val="1"/>
                <w:color w:val="auto"/>
              </w:rPr>
              <w:t>(c)</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8"/>
        </w:trPr>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28"/>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22"/>
        </w:trPr>
        <w:tc>
          <w:tcPr>
            <w:tcW w:w="4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15,108</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12,578</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2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Private Debt </w:t>
            </w:r>
            <w:r>
              <w:rPr>
                <w:rFonts w:ascii="Times New Roman" w:cs="Times New Roman" w:eastAsia="Times New Roman" w:hAnsi="Times New Roman"/>
                <w:sz w:val="18"/>
                <w:szCs w:val="18"/>
                <w:i w:val="1"/>
                <w:iCs w:val="1"/>
                <w:color w:val="auto"/>
              </w:rPr>
              <w:t>(d)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8"/>
        </w:trPr>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8"/>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4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invested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8"/>
        </w:trPr>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w:t>
            </w:r>
          </w:p>
        </w:tc>
      </w:tr>
      <w:tr>
        <w:trPr>
          <w:trHeight w:val="228"/>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2"/>
        </w:trPr>
        <w:tc>
          <w:tcPr>
            <w:tcW w:w="42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w:t>
            </w: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340" w:hanging="333"/>
        <w:spacing w:after="0" w:line="268" w:lineRule="auto"/>
        <w:tabs>
          <w:tab w:leader="none" w:pos="39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Excess and Surplus Lines segment owns equity interests ranging from 3.6% to 5% in various LLCs whose principal objective is capital appreciation and income generation from owning and operating renewable energy production facilities (wind and solar). The Company’s former Non-Executive Chairman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During the fourth quarter of 2022, the underlying projects in two of our LLCs were sold at the manager's discretion. The Company received proceeds of $20.2 million, comprised of $17.2 million in the Excess and Surplus Lines segment and $3.0 million in the Corporate and Other segment. During the year ended December 31, 2023, the Company received additional proceeds from the sales of $3.1 million in the Excess and Surplus Lines segment and $524,000 in the Corporate and Other segment. During the year ended December 31, 2024, the Company received additional proceeds from the sales of $1.7 million in the Excess and Surplus Lines segment and $293,000 in the Corporate and Other segment. The Company received cash distributions from all renewable energy investments totaling $439,000 and $3.7 million for the years ended December 31, 2024 and 2023, respectively.</w:t>
      </w:r>
    </w:p>
    <w:p>
      <w:pPr>
        <w:spacing w:after="0" w:line="71" w:lineRule="exact"/>
        <w:rPr>
          <w:rFonts w:ascii="Times New Roman" w:cs="Times New Roman" w:eastAsia="Times New Roman" w:hAnsi="Times New Roman"/>
          <w:sz w:val="17"/>
          <w:szCs w:val="17"/>
          <w:color w:val="auto"/>
        </w:rPr>
      </w:pPr>
    </w:p>
    <w:p>
      <w:pPr>
        <w:ind w:left="340" w:right="40" w:hanging="333"/>
        <w:spacing w:after="0" w:line="256" w:lineRule="auto"/>
        <w:tabs>
          <w:tab w:leader="none" w:pos="40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Excess and Surplus Lines and Corporate and Other segments have invested in </w:t>
      </w:r>
      <w:r>
        <w:rPr>
          <w:rFonts w:ascii="Times New Roman" w:cs="Times New Roman" w:eastAsia="Times New Roman" w:hAnsi="Times New Roman"/>
          <w:sz w:val="18"/>
          <w:szCs w:val="18"/>
          <w:color w:val="231F20"/>
        </w:rPr>
        <w:t>two</w:t>
      </w:r>
      <w:r>
        <w:rPr>
          <w:rFonts w:ascii="Times New Roman" w:cs="Times New Roman" w:eastAsia="Times New Roman" w:hAnsi="Times New Roman"/>
          <w:sz w:val="18"/>
          <w:szCs w:val="18"/>
          <w:color w:val="auto"/>
        </w:rPr>
        <w:t xml:space="preserve"> notes receivable for renewable energy projects. </w:t>
      </w:r>
      <w:r>
        <w:rPr>
          <w:rFonts w:ascii="Times New Roman" w:cs="Times New Roman" w:eastAsia="Times New Roman" w:hAnsi="Times New Roman"/>
          <w:sz w:val="18"/>
          <w:szCs w:val="18"/>
          <w:color w:val="231F20"/>
        </w:rPr>
        <w:t xml:space="preserve">Interest on the notes, which mature in 2025, is fixed at </w:t>
      </w:r>
      <w:r>
        <w:rPr>
          <w:rFonts w:ascii="Times New Roman" w:cs="Times New Roman" w:eastAsia="Times New Roman" w:hAnsi="Times New Roman"/>
          <w:sz w:val="18"/>
          <w:szCs w:val="18"/>
          <w:color w:val="000000"/>
        </w:rPr>
        <w:t>12%.</w:t>
      </w:r>
      <w:r>
        <w:rPr>
          <w:rFonts w:ascii="Times New Roman" w:cs="Times New Roman" w:eastAsia="Times New Roman" w:hAnsi="Times New Roman"/>
          <w:sz w:val="18"/>
          <w:szCs w:val="18"/>
          <w:color w:val="231F20"/>
        </w:rPr>
        <w:t xml:space="preserve"> During the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the Company received principal repayments of $608,000 and $761,000 on the notes receivable in the Company's Excess and Surplus Lines segment and Corporate and Other segment, respectively. During the year ended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31F20"/>
        </w:rPr>
        <w:t>, the Company received principal repayments of $593,000 and $742,000 on the notes receivable in the Company's Excess and Surplus Lines segment and Corporate and Other segment, respectively.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left="340" w:hanging="333"/>
        <w:spacing w:after="0" w:line="255" w:lineRule="auto"/>
        <w:tabs>
          <w:tab w:leader="none" w:pos="39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owns investments in limited partnerships that invest in concentrated portfolios including publicly-traded small cap equities, loans of middle market private equity sponsored companies, private equity general partnership interests, commercial mortgage-backed securities, specialty private credit, and tranches of distressed home loans. Income from the partnerships is recognized under the equity method of accounting. During the year ended December 31, 2022, the Company recognized an impairment loss of $538,000 on one limited partnership in the Corporate &amp; Other segment. At December 31, 2024, the Company’s Excess and Surplus Lines segment has outstanding commitments to invest another $4.7 million in these limited partnerships and a $20.0 million commitment to invest in a new limited partnership.</w:t>
      </w:r>
    </w:p>
    <w:p>
      <w:pPr>
        <w:spacing w:after="0" w:line="77" w:lineRule="exact"/>
        <w:rPr>
          <w:rFonts w:ascii="Times New Roman" w:cs="Times New Roman" w:eastAsia="Times New Roman" w:hAnsi="Times New Roman"/>
          <w:sz w:val="18"/>
          <w:szCs w:val="18"/>
          <w:color w:val="auto"/>
        </w:rPr>
      </w:pPr>
    </w:p>
    <w:p>
      <w:pPr>
        <w:ind w:left="340" w:right="80" w:hanging="333"/>
        <w:spacing w:after="0" w:line="256" w:lineRule="auto"/>
        <w:tabs>
          <w:tab w:leader="none" w:pos="40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Excess and Surplus Lines segment holds two notes receivable for structured private specialty credit. Interest on the notes, which mature in 2031, is fixed at 4.25% and 5.25%. At December 31, 2024, the Company's Excess and Surplus Lines segment has outstanding commitments to invest another $2.3 million in these notes. Previously, the Company's Excess and Surplus Lines segment held $4.5 million of subordinated notes issued by a bank holding company for which the former Non-Executive Chairman of the Company was previously the Lead Independent Director. The notes matured on August 12, 2023. Interest on the notes was fixed at 7.6% per annum.</w:t>
      </w:r>
    </w:p>
    <w:p>
      <w:pPr>
        <w:spacing w:after="0" w:line="79" w:lineRule="exact"/>
        <w:rPr>
          <w:sz w:val="20"/>
          <w:szCs w:val="20"/>
          <w:color w:val="auto"/>
        </w:rPr>
      </w:pPr>
    </w:p>
    <w:p>
      <w:pPr>
        <w:ind w:right="300" w:firstLine="323"/>
        <w:spacing w:after="0" w:line="280" w:lineRule="auto"/>
        <w:rPr>
          <w:sz w:val="20"/>
          <w:szCs w:val="20"/>
          <w:color w:val="auto"/>
        </w:rPr>
      </w:pPr>
      <w:r>
        <w:rPr>
          <w:rFonts w:ascii="Times New Roman" w:cs="Times New Roman" w:eastAsia="Times New Roman" w:hAnsi="Times New Roman"/>
          <w:sz w:val="18"/>
          <w:szCs w:val="18"/>
          <w:color w:val="auto"/>
        </w:rPr>
        <w:t>At December 31, 2024 and 2023, cash and investments with a fair value of $76.6 million and $72.4 million, respectively, were on deposit with state insurance departments to satisfy regulatory requirements.</w:t>
      </w:r>
    </w:p>
    <w:p>
      <w:pPr>
        <w:spacing w:after="0" w:line="51" w:lineRule="exact"/>
        <w:rPr>
          <w:sz w:val="20"/>
          <w:szCs w:val="20"/>
          <w:color w:val="auto"/>
        </w:rPr>
      </w:pPr>
    </w:p>
    <w:p>
      <w:pPr>
        <w:ind w:left="320" w:hanging="313"/>
        <w:spacing w:after="0"/>
        <w:tabs>
          <w:tab w:leader="none" w:pos="3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Policy Acquisition Costs</w:t>
      </w:r>
    </w:p>
    <w:p>
      <w:pPr>
        <w:spacing w:after="0" w:line="11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analysis of deferred policy acquisition costs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6"/>
          </w:tcPr>
          <w:p>
            <w:pPr>
              <w:jc w:val="center"/>
              <w:ind w:left="6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5"/>
        </w:trPr>
        <w:tc>
          <w:tcPr>
            <w:tcW w:w="7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8"/>
                <w:szCs w:val="18"/>
                <w:color w:val="auto"/>
              </w:rPr>
              <w:t>21,399</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Policy acquisition costs deferred:</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8"/>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Commissions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8"/>
                <w:szCs w:val="18"/>
                <w:color w:val="auto"/>
              </w:rPr>
              <w:t>38,190</w:t>
            </w:r>
          </w:p>
        </w:tc>
      </w:tr>
      <w:tr>
        <w:trPr>
          <w:trHeight w:val="228"/>
        </w:trPr>
        <w:tc>
          <w:tcPr>
            <w:tcW w:w="7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Underwriting and other issue expenses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273"/>
              <w:spacing w:after="0"/>
              <w:rPr>
                <w:sz w:val="20"/>
                <w:szCs w:val="20"/>
                <w:color w:val="auto"/>
              </w:rPr>
            </w:pPr>
            <w:r>
              <w:rPr>
                <w:rFonts w:ascii="Times New Roman" w:cs="Times New Roman" w:eastAsia="Times New Roman" w:hAnsi="Times New Roman"/>
                <w:sz w:val="18"/>
                <w:szCs w:val="18"/>
                <w:color w:val="auto"/>
              </w:rPr>
              <w:t>23,057</w:t>
            </w:r>
          </w:p>
        </w:tc>
      </w:tr>
      <w:tr>
        <w:trPr>
          <w:trHeight w:val="222"/>
        </w:trPr>
        <w:tc>
          <w:tcPr>
            <w:tcW w:w="7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8"/>
                <w:szCs w:val="18"/>
                <w:color w:val="auto"/>
              </w:rPr>
              <w:t>61,247</w:t>
            </w:r>
          </w:p>
        </w:tc>
      </w:tr>
      <w:tr>
        <w:trPr>
          <w:trHeight w:val="228"/>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(72,633)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253"/>
              <w:spacing w:after="0"/>
              <w:rPr>
                <w:sz w:val="20"/>
                <w:szCs w:val="20"/>
                <w:color w:val="auto"/>
              </w:rPr>
            </w:pPr>
            <w:r>
              <w:rPr>
                <w:rFonts w:ascii="Times New Roman" w:cs="Times New Roman" w:eastAsia="Times New Roman" w:hAnsi="Times New Roman"/>
                <w:sz w:val="18"/>
                <w:szCs w:val="18"/>
                <w:color w:val="auto"/>
                <w:w w:val="97"/>
              </w:rPr>
              <w:t>(49,809)</w:t>
            </w:r>
          </w:p>
        </w:tc>
      </w:tr>
      <w:tr>
        <w:trPr>
          <w:trHeight w:val="22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293"/>
              <w:spacing w:after="0"/>
              <w:rPr>
                <w:sz w:val="20"/>
                <w:szCs w:val="20"/>
                <w:color w:val="auto"/>
              </w:rPr>
            </w:pPr>
            <w:r>
              <w:rPr>
                <w:rFonts w:ascii="Times New Roman" w:cs="Times New Roman" w:eastAsia="Times New Roman" w:hAnsi="Times New Roman"/>
                <w:sz w:val="18"/>
                <w:szCs w:val="18"/>
                <w:color w:val="auto"/>
                <w:w w:val="96"/>
              </w:rPr>
              <w:t>11,438</w:t>
            </w:r>
          </w:p>
        </w:tc>
      </w:tr>
      <w:tr>
        <w:trPr>
          <w:trHeight w:val="222"/>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center"/>
              <w:ind w:left="273"/>
              <w:spacing w:after="0"/>
              <w:rPr>
                <w:sz w:val="20"/>
                <w:szCs w:val="20"/>
                <w:color w:val="auto"/>
              </w:rPr>
            </w:pPr>
            <w:r>
              <w:rPr>
                <w:rFonts w:ascii="Times New Roman" w:cs="Times New Roman" w:eastAsia="Times New Roman" w:hAnsi="Times New Roman"/>
                <w:sz w:val="18"/>
                <w:szCs w:val="18"/>
                <w:color w:val="auto"/>
              </w:rPr>
              <w:t>32,837</w:t>
            </w: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119" w:lineRule="exact"/>
        <w:rPr>
          <w:sz w:val="20"/>
          <w:szCs w:val="20"/>
          <w:color w:val="auto"/>
        </w:rPr>
      </w:pPr>
    </w:p>
    <w:p>
      <w:pPr>
        <w:jc w:val="both"/>
        <w:ind w:right="260" w:firstLine="363"/>
        <w:spacing w:after="0" w:line="264" w:lineRule="auto"/>
        <w:rPr>
          <w:sz w:val="20"/>
          <w:szCs w:val="20"/>
          <w:color w:val="auto"/>
        </w:rPr>
      </w:pPr>
      <w:r>
        <w:rPr>
          <w:rFonts w:ascii="Times New Roman" w:cs="Times New Roman" w:eastAsia="Times New Roman" w:hAnsi="Times New Roman"/>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w:t>
      </w:r>
    </w:p>
    <w:p>
      <w:pPr>
        <w:spacing w:after="0" w:line="69" w:lineRule="exact"/>
        <w:rPr>
          <w:sz w:val="20"/>
          <w:szCs w:val="20"/>
          <w:color w:val="auto"/>
        </w:rPr>
      </w:pPr>
    </w:p>
    <w:p>
      <w:pPr>
        <w:ind w:right="80" w:firstLine="363"/>
        <w:spacing w:after="0" w:line="259" w:lineRule="auto"/>
        <w:rPr>
          <w:sz w:val="20"/>
          <w:szCs w:val="20"/>
          <w:color w:val="auto"/>
        </w:rPr>
      </w:pPr>
      <w:r>
        <w:rPr>
          <w:rFonts w:ascii="Times New Roman" w:cs="Times New Roman" w:eastAsia="Times New Roman" w:hAnsi="Times New Roman"/>
          <w:sz w:val="18"/>
          <w:szCs w:val="18"/>
          <w:color w:val="auto"/>
        </w:rPr>
        <w:t>All of the Company’s goodwill is an asset of the Excess and Surplus Lines segment. The Company’s annual testing performed in the fourth quarter of 2024, 2023 and 2022 indicated that no impairment of goodwill had occurred. The carrying amount of goodwill at December 31, 2024 and 2023 was $181.8 million. Accumulated goodwill impairment losses were $99.6 million at December 31, 2024 and 2023. The most recent goodwill impairment losses occurred in 2010.</w:t>
      </w:r>
    </w:p>
    <w:p>
      <w:pPr>
        <w:spacing w:after="0" w:line="74" w:lineRule="exact"/>
        <w:rPr>
          <w:sz w:val="20"/>
          <w:szCs w:val="20"/>
          <w:color w:val="auto"/>
        </w:rPr>
      </w:pPr>
    </w:p>
    <w:p>
      <w:pPr>
        <w:ind w:firstLine="363"/>
        <w:spacing w:after="0" w:line="255" w:lineRule="auto"/>
        <w:rPr>
          <w:sz w:val="20"/>
          <w:szCs w:val="20"/>
          <w:color w:val="auto"/>
        </w:rPr>
      </w:pPr>
      <w:r>
        <w:rPr>
          <w:rFonts w:ascii="Times New Roman" w:cs="Times New Roman" w:eastAsia="Times New Roman" w:hAnsi="Times New Roman"/>
          <w:sz w:val="18"/>
          <w:szCs w:val="18"/>
          <w:color w:val="auto"/>
        </w:rPr>
        <w:t>Specifically identifiable intangible assets were acquired in the Merger. In September, 2023, the Company sold the renewal rights to the Individual Risk Workers’ Compensation (“IRWC”) business in the Specialty Admitted Insurance segment. Upon closing of the transaction, the Company recognized an impairment charge of $2.5 million related to the trademark intangible asset associated with the IRWC business. During the fourth quarters of 2024, 2023 and 2022, the indefinite-lived intangible assets for trademarks and insurance licenses and authorities were tested for impairment. Intangible assets for broker relationships that have specific lives and are subject to amortization were also reviewed for impairment. There were no additional impairments recognized in 2024, 2023, or 2022.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for each major specifically identifiable intangible asset class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4"/>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960" w:type="dxa"/>
            <w:vAlign w:val="bottom"/>
          </w:tcPr>
          <w:p>
            <w:pPr>
              <w:spacing w:after="0"/>
              <w:rPr>
                <w:sz w:val="11"/>
                <w:szCs w:val="11"/>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200" w:type="dxa"/>
            <w:vAlign w:val="bottom"/>
          </w:tcPr>
          <w:p>
            <w:pPr>
              <w:spacing w:after="0"/>
              <w:rPr>
                <w:sz w:val="11"/>
                <w:szCs w:val="11"/>
                <w:color w:val="auto"/>
              </w:rPr>
            </w:pPr>
          </w:p>
        </w:tc>
        <w:tc>
          <w:tcPr>
            <w:tcW w:w="110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20" w:type="dxa"/>
            <w:vAlign w:val="bottom"/>
          </w:tcPr>
          <w:p>
            <w:pPr>
              <w:jc w:val="center"/>
              <w:ind w:right="58"/>
              <w:spacing w:after="0" w:line="13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9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7"/>
                <w:szCs w:val="17"/>
                <w:color w:val="auto"/>
              </w:rPr>
            </w:pPr>
          </w:p>
        </w:tc>
        <w:tc>
          <w:tcPr>
            <w:tcW w:w="9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96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gridSpan w:val="4"/>
          </w:tcPr>
          <w:p>
            <w:pPr>
              <w:jc w:val="right"/>
              <w:ind w:right="67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Indefinite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licenses and authorities</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Indefinite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intangibles not subject to amortization</w:t>
            </w:r>
          </w:p>
        </w:tc>
        <w:tc>
          <w:tcPr>
            <w:tcW w:w="9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28,664</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 relationships</w:t>
            </w: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5"/>
              </w:rPr>
              <w:t>24.6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subject to amortization</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40,275</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9800" w:type="dxa"/>
            <w:vAlign w:val="bottom"/>
            <w:gridSpan w:val="11"/>
          </w:tcPr>
          <w:p>
            <w:pPr>
              <w:ind w:left="380"/>
              <w:spacing w:after="0"/>
              <w:rPr>
                <w:sz w:val="20"/>
                <w:szCs w:val="20"/>
                <w:color w:val="auto"/>
              </w:rPr>
            </w:pPr>
            <w:r>
              <w:rPr>
                <w:rFonts w:ascii="Times New Roman" w:cs="Times New Roman" w:eastAsia="Times New Roman" w:hAnsi="Times New Roman"/>
                <w:sz w:val="18"/>
                <w:szCs w:val="18"/>
                <w:color w:val="auto"/>
              </w:rPr>
              <w:t>Future estimated amortization of specifically identifiable intangible assets as of December 31, 2024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the changes in the net carrying values of intangible assets by segment for the year ended December 31,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14"/>
                <w:szCs w:val="14"/>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3"/>
        </w:trPr>
        <w:tc>
          <w:tcPr>
            <w:tcW w:w="5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0" w:type="dxa"/>
            <w:vAlign w:val="bottom"/>
          </w:tcPr>
          <w:p>
            <w:pPr>
              <w:spacing w:after="0"/>
              <w:rPr>
                <w:sz w:val="1"/>
                <w:szCs w:val="1"/>
                <w:color w:val="auto"/>
              </w:rPr>
            </w:pPr>
          </w:p>
        </w:tc>
      </w:tr>
      <w:tr>
        <w:trPr>
          <w:trHeight w:val="22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licenses and authorities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 relationships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0" w:type="dxa"/>
            <w:vAlign w:val="bottom"/>
          </w:tcPr>
          <w:p>
            <w:pPr>
              <w:spacing w:after="0"/>
              <w:rPr>
                <w:sz w:val="1"/>
                <w:szCs w:val="1"/>
                <w:color w:val="auto"/>
              </w:rPr>
            </w:pPr>
          </w:p>
        </w:tc>
      </w:tr>
      <w:tr>
        <w:trPr>
          <w:trHeight w:val="222"/>
        </w:trPr>
        <w:tc>
          <w:tcPr>
            <w:tcW w:w="5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28,385</w:t>
            </w:r>
          </w:p>
        </w:tc>
        <w:tc>
          <w:tcPr>
            <w:tcW w:w="0" w:type="dxa"/>
            <w:vAlign w:val="bottom"/>
          </w:tcPr>
          <w:p>
            <w:pPr>
              <w:spacing w:after="0"/>
              <w:rPr>
                <w:sz w:val="1"/>
                <w:szCs w:val="1"/>
                <w:color w:val="auto"/>
              </w:rPr>
            </w:pP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licenses and authorities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0" w:type="dxa"/>
            <w:vAlign w:val="bottom"/>
          </w:tcPr>
          <w:p>
            <w:pPr>
              <w:spacing w:after="0"/>
              <w:rPr>
                <w:sz w:val="1"/>
                <w:szCs w:val="1"/>
                <w:color w:val="auto"/>
              </w:rPr>
            </w:pPr>
          </w:p>
        </w:tc>
      </w:tr>
      <w:tr>
        <w:trPr>
          <w:trHeight w:val="222"/>
        </w:trPr>
        <w:tc>
          <w:tcPr>
            <w:tcW w:w="5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0" w:type="dxa"/>
            <w:vAlign w:val="bottom"/>
          </w:tcPr>
          <w:p>
            <w:pPr>
              <w:spacing w:after="0"/>
              <w:rPr>
                <w:sz w:val="1"/>
                <w:szCs w:val="1"/>
                <w:color w:val="auto"/>
              </w:rPr>
            </w:pPr>
          </w:p>
        </w:tc>
      </w:tr>
      <w:tr>
        <w:trPr>
          <w:trHeight w:val="222"/>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1"/>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F-26</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the changes in the net carrying values of intangible assets by segment for the year ended December 31,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14"/>
                <w:szCs w:val="14"/>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4"/>
                <w:szCs w:val="14"/>
                <w:color w:val="auto"/>
              </w:rPr>
            </w:pPr>
          </w:p>
        </w:tc>
        <w:tc>
          <w:tcPr>
            <w:tcW w:w="13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3"/>
        </w:trPr>
        <w:tc>
          <w:tcPr>
            <w:tcW w:w="5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0" w:type="dxa"/>
            <w:vAlign w:val="bottom"/>
          </w:tcPr>
          <w:p>
            <w:pPr>
              <w:spacing w:after="0"/>
              <w:rPr>
                <w:sz w:val="1"/>
                <w:szCs w:val="1"/>
                <w:color w:val="auto"/>
              </w:rPr>
            </w:pPr>
          </w:p>
        </w:tc>
      </w:tr>
      <w:tr>
        <w:trPr>
          <w:trHeight w:val="22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licenses and authorities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 relationships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0" w:type="dxa"/>
            <w:vAlign w:val="bottom"/>
          </w:tcPr>
          <w:p>
            <w:pPr>
              <w:spacing w:after="0"/>
              <w:rPr>
                <w:sz w:val="1"/>
                <w:szCs w:val="1"/>
                <w:color w:val="auto"/>
              </w:rPr>
            </w:pPr>
          </w:p>
        </w:tc>
      </w:tr>
      <w:tr>
        <w:trPr>
          <w:trHeight w:val="222"/>
        </w:trPr>
        <w:tc>
          <w:tcPr>
            <w:tcW w:w="5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28,748</w:t>
            </w:r>
          </w:p>
        </w:tc>
        <w:tc>
          <w:tcPr>
            <w:tcW w:w="0" w:type="dxa"/>
            <w:vAlign w:val="bottom"/>
          </w:tcPr>
          <w:p>
            <w:pPr>
              <w:spacing w:after="0"/>
              <w:rPr>
                <w:sz w:val="1"/>
                <w:szCs w:val="1"/>
                <w:color w:val="auto"/>
              </w:rPr>
            </w:pP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licenses and authorities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0" w:type="dxa"/>
            <w:vAlign w:val="bottom"/>
          </w:tcPr>
          <w:p>
            <w:pPr>
              <w:spacing w:after="0"/>
              <w:rPr>
                <w:sz w:val="1"/>
                <w:szCs w:val="1"/>
                <w:color w:val="auto"/>
              </w:rPr>
            </w:pPr>
          </w:p>
        </w:tc>
      </w:tr>
      <w:tr>
        <w:trPr>
          <w:trHeight w:val="222"/>
        </w:trPr>
        <w:tc>
          <w:tcPr>
            <w:tcW w:w="5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0" w:type="dxa"/>
            <w:vAlign w:val="bottom"/>
          </w:tcPr>
          <w:p>
            <w:pPr>
              <w:spacing w:after="0"/>
              <w:rPr>
                <w:sz w:val="1"/>
                <w:szCs w:val="1"/>
                <w:color w:val="auto"/>
              </w:rPr>
            </w:pPr>
          </w:p>
        </w:tc>
      </w:tr>
      <w:tr>
        <w:trPr>
          <w:trHeight w:val="222"/>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40" w:firstLine="363"/>
        <w:spacing w:after="0" w:line="280" w:lineRule="auto"/>
        <w:rPr>
          <w:sz w:val="20"/>
          <w:szCs w:val="20"/>
          <w:color w:val="auto"/>
        </w:rPr>
      </w:pPr>
      <w:r>
        <w:rPr>
          <w:rFonts w:ascii="Times New Roman" w:cs="Times New Roman" w:eastAsia="Times New Roman" w:hAnsi="Times New Roman"/>
          <w:sz w:val="18"/>
          <w:szCs w:val="18"/>
          <w:color w:val="auto"/>
        </w:rPr>
        <w:t>Amortization of intangible assets was $363,000 for the Excess and Surplus Lines segment and $0 for the Specialty Admitted Insurance segment for the year ended December 31, 2022.</w:t>
      </w:r>
    </w:p>
    <w:p>
      <w:pPr>
        <w:spacing w:after="0" w:line="51" w:lineRule="exact"/>
        <w:rPr>
          <w:sz w:val="20"/>
          <w:szCs w:val="20"/>
          <w:color w:val="auto"/>
        </w:rPr>
      </w:pPr>
    </w:p>
    <w:p>
      <w:pPr>
        <w:ind w:left="320" w:hanging="313"/>
        <w:spacing w:after="0"/>
        <w:tabs>
          <w:tab w:leader="none" w:pos="3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1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Property and equipment, net of accumulated depreciation, is included in "other assets" on the consolidated balance sheets and consists of the following: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5"/>
        </w:trPr>
        <w:tc>
          <w:tcPr>
            <w:tcW w:w="8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8"/>
        </w:trPr>
        <w:tc>
          <w:tcPr>
            <w:tcW w:w="82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60" w:type="dxa"/>
            <w:vAlign w:val="bottom"/>
          </w:tcPr>
          <w:p>
            <w:pPr>
              <w:spacing w:after="0"/>
              <w:rPr>
                <w:sz w:val="17"/>
                <w:szCs w:val="17"/>
                <w:color w:val="auto"/>
              </w:rPr>
            </w:pPr>
          </w:p>
        </w:tc>
      </w:tr>
      <w:tr>
        <w:trPr>
          <w:trHeight w:val="23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Electronic data processing hardware and software</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24,902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19,693</w:t>
            </w:r>
          </w:p>
        </w:tc>
      </w:tr>
      <w:tr>
        <w:trPr>
          <w:trHeight w:val="228"/>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cost basis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26,665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21,829</w:t>
            </w:r>
          </w:p>
        </w:tc>
      </w:tr>
      <w:tr>
        <w:trPr>
          <w:trHeight w:val="228"/>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(6,892)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(4,834)</w:t>
            </w:r>
          </w:p>
        </w:tc>
      </w:tr>
      <w:tr>
        <w:trPr>
          <w:trHeight w:val="24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19,773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11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The Company has entered into operating leases for office space in North Carolina, Virginia, Arizona, and Georgia. The present value of future lease payments for the Company’s leases with terms greater than 12 months are included on the consolidated balance sheets as lease liabilities and right-of-use lease assets. For leases with terms of 12 months or less, lease payments are recognized in other operating expenses on a straight-line basis over the lease term.</w:t>
      </w:r>
    </w:p>
    <w:p>
      <w:pPr>
        <w:spacing w:after="0" w:line="74" w:lineRule="exact"/>
        <w:rPr>
          <w:sz w:val="20"/>
          <w:szCs w:val="20"/>
          <w:color w:val="auto"/>
        </w:rPr>
      </w:pPr>
    </w:p>
    <w:p>
      <w:pPr>
        <w:jc w:val="both"/>
        <w:ind w:right="620" w:firstLine="323"/>
        <w:spacing w:after="0" w:line="287" w:lineRule="auto"/>
        <w:rPr>
          <w:sz w:val="20"/>
          <w:szCs w:val="20"/>
          <w:color w:val="auto"/>
        </w:rPr>
      </w:pPr>
      <w:r>
        <w:rPr>
          <w:rFonts w:ascii="Times New Roman" w:cs="Times New Roman" w:eastAsia="Times New Roman" w:hAnsi="Times New Roman"/>
          <w:sz w:val="17"/>
          <w:szCs w:val="17"/>
          <w:color w:val="auto"/>
        </w:rPr>
        <w:t>Total expected lease payments are based on the lease payments specified in the contract and the stated term, including any options to extend or terminate that the Company is reasonably certain to exercise. The Company elected the practical expedient to account for lease components and any associated non-lease components as a single lease component, and therefore allocates all of the expected lease payments to the lease component.</w:t>
      </w:r>
    </w:p>
    <w:p>
      <w:pPr>
        <w:spacing w:after="0" w:line="51" w:lineRule="exact"/>
        <w:rPr>
          <w:sz w:val="20"/>
          <w:szCs w:val="20"/>
          <w:color w:val="auto"/>
        </w:rPr>
      </w:pPr>
    </w:p>
    <w:p>
      <w:pPr>
        <w:ind w:right="60" w:firstLine="323"/>
        <w:spacing w:after="0" w:line="256" w:lineRule="auto"/>
        <w:rPr>
          <w:sz w:val="20"/>
          <w:szCs w:val="20"/>
          <w:color w:val="auto"/>
        </w:rPr>
      </w:pPr>
      <w:r>
        <w:rPr>
          <w:rFonts w:ascii="Times New Roman" w:cs="Times New Roman" w:eastAsia="Times New Roman" w:hAnsi="Times New Roman"/>
          <w:sz w:val="18"/>
          <w:szCs w:val="18"/>
          <w:color w:val="auto"/>
        </w:rPr>
        <w:t>The lease liability, which represents the Company’s obligation to make lease payments arising from the lease, is calculated based on the present value of expected lease payments over the remaining lease term, discounted using the Company’s collateralized incremental borrowing rate at the commencement date. The lease liability is then adjusted for any prepaid rent, lease incentives received or capitalized initial direct costs to determine the lease asset, which represents the Company's right to use the underlying asset for the lease term. Lease liabilities and right-of-use assets are included in other liabilities and other assets, respectively,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right="80" w:firstLine="323"/>
        <w:spacing w:after="0" w:line="264" w:lineRule="auto"/>
        <w:rPr>
          <w:sz w:val="20"/>
          <w:szCs w:val="20"/>
          <w:color w:val="auto"/>
        </w:rPr>
      </w:pPr>
      <w:r>
        <w:rPr>
          <w:rFonts w:ascii="Times New Roman" w:cs="Times New Roman" w:eastAsia="Times New Roman" w:hAnsi="Times New Roman"/>
          <w:sz w:val="18"/>
          <w:szCs w:val="18"/>
          <w:color w:val="auto"/>
        </w:rPr>
        <w:t>At December 31, 2024, lease liabilities and right-of-use assets associated with the Company's operating leases were $5.6 million and $5.3 million, respectively ($8.0 million and $7.8 million at December 31, 2023, respectively). The weighted-average discount rate and weighted average remaining lease term for operating leases was 4.8% and 2.6 years, respectively, as of December 31, 2024.</w:t>
      </w:r>
    </w:p>
    <w:p>
      <w:pPr>
        <w:spacing w:after="0" w:line="69" w:lineRule="exact"/>
        <w:rPr>
          <w:sz w:val="20"/>
          <w:szCs w:val="20"/>
          <w:color w:val="auto"/>
        </w:rPr>
      </w:pPr>
    </w:p>
    <w:p>
      <w:pPr>
        <w:ind w:right="120" w:firstLine="323"/>
        <w:spacing w:after="0" w:line="280" w:lineRule="auto"/>
        <w:rPr>
          <w:sz w:val="20"/>
          <w:szCs w:val="20"/>
          <w:color w:val="auto"/>
        </w:rPr>
      </w:pPr>
      <w:r>
        <w:rPr>
          <w:rFonts w:ascii="Times New Roman" w:cs="Times New Roman" w:eastAsia="Times New Roman" w:hAnsi="Times New Roman"/>
          <w:sz w:val="18"/>
          <w:szCs w:val="18"/>
          <w:color w:val="auto"/>
        </w:rPr>
        <w:t>The table below summarizes maturities of the Company’s operating lease liabilities as of December 31, 2024, which reconciles to total lease liabilities included in other liabilities on the Company’s consolidated balance sheets: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r>
      <w:tr>
        <w:trPr>
          <w:trHeight w:val="228"/>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r>
      <w:tr>
        <w:trPr>
          <w:trHeight w:val="228"/>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28"/>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28"/>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28"/>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8"/>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r>
      <w:tr>
        <w:trPr>
          <w:trHeight w:val="228"/>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2"/>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w:t>
            </w:r>
          </w:p>
        </w:tc>
      </w:tr>
      <w:tr>
        <w:trPr>
          <w:trHeight w:val="20"/>
        </w:trPr>
        <w:tc>
          <w:tcPr>
            <w:tcW w:w="9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300" w:firstLine="323"/>
        <w:spacing w:after="0" w:line="280" w:lineRule="auto"/>
        <w:rPr>
          <w:sz w:val="20"/>
          <w:szCs w:val="20"/>
          <w:color w:val="auto"/>
        </w:rPr>
      </w:pPr>
      <w:r>
        <w:rPr>
          <w:rFonts w:ascii="Times New Roman" w:cs="Times New Roman" w:eastAsia="Times New Roman" w:hAnsi="Times New Roman"/>
          <w:sz w:val="18"/>
          <w:szCs w:val="18"/>
          <w:color w:val="auto"/>
        </w:rPr>
        <w:t>Operating lease liabilities include $2.3 million associated with office space in a building that is owned by a partnership in which the Company has a minority interest.</w:t>
      </w:r>
    </w:p>
    <w:p>
      <w:pPr>
        <w:spacing w:after="0" w:line="55" w:lineRule="exact"/>
        <w:rPr>
          <w:sz w:val="20"/>
          <w:szCs w:val="20"/>
          <w:color w:val="auto"/>
        </w:rPr>
      </w:pPr>
    </w:p>
    <w:p>
      <w:pPr>
        <w:ind w:firstLine="323"/>
        <w:spacing w:after="0" w:line="259" w:lineRule="auto"/>
        <w:rPr>
          <w:sz w:val="20"/>
          <w:szCs w:val="20"/>
          <w:color w:val="auto"/>
        </w:rPr>
      </w:pPr>
      <w:r>
        <w:rPr>
          <w:rFonts w:ascii="Times New Roman" w:cs="Times New Roman" w:eastAsia="Times New Roman" w:hAnsi="Times New Roman"/>
          <w:sz w:val="18"/>
          <w:szCs w:val="18"/>
          <w:color w:val="auto"/>
        </w:rPr>
        <w:t xml:space="preserve">Operating lease costs were $4.1 million, $4.6 million, and $4.6 million for the years </w:t>
      </w:r>
      <w:r>
        <w:rPr>
          <w:rFonts w:ascii="Times New Roman" w:cs="Times New Roman" w:eastAsia="Times New Roman" w:hAnsi="Times New Roman"/>
          <w:sz w:val="18"/>
          <w:szCs w:val="18"/>
          <w:color w:val="231F20"/>
        </w:rPr>
        <w:t>ended</w:t>
      </w:r>
      <w:r>
        <w:rPr>
          <w:rFonts w:ascii="Times New Roman" w:cs="Times New Roman" w:eastAsia="Times New Roman" w:hAnsi="Times New Roman"/>
          <w:sz w:val="18"/>
          <w:szCs w:val="18"/>
          <w:color w:val="auto"/>
        </w:rPr>
        <w:t xml:space="preserve"> December 31, 2024</w:t>
      </w:r>
      <w:r>
        <w:rPr>
          <w:rFonts w:ascii="Times New Roman" w:cs="Times New Roman" w:eastAsia="Times New Roman" w:hAnsi="Times New Roman"/>
          <w:sz w:val="18"/>
          <w:szCs w:val="18"/>
          <w:color w:val="231F20"/>
        </w:rPr>
        <w:t>, 2023, and 2022, respectively. Operating</w:t>
      </w:r>
      <w:r>
        <w:rPr>
          <w:rFonts w:ascii="Times New Roman" w:cs="Times New Roman" w:eastAsia="Times New Roman" w:hAnsi="Times New Roman"/>
          <w:sz w:val="18"/>
          <w:szCs w:val="18"/>
          <w:color w:val="auto"/>
        </w:rPr>
        <w:t xml:space="preserve"> lease costs are primarily comprised of rental expense for operating leases. Rental expense is recognized on a straight line basis over the lease term and includes amortization of the right-of-use lease asset and imputed interest on the lease liability. Operating lease costs are included in other operating expenses in the Company's consolidated statements of (loss) income and comprehensive loss.</w:t>
      </w:r>
    </w:p>
    <w:p>
      <w:pPr>
        <w:spacing w:after="0" w:line="7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Reserve for Losses and Loss Adjustment Expenses</w:t>
      </w:r>
    </w:p>
    <w:p>
      <w:pPr>
        <w:spacing w:after="0" w:line="119" w:lineRule="exact"/>
        <w:rPr>
          <w:sz w:val="20"/>
          <w:szCs w:val="20"/>
          <w:color w:val="auto"/>
        </w:rPr>
      </w:pPr>
    </w:p>
    <w:p>
      <w:pPr>
        <w:ind w:right="40" w:firstLine="363"/>
        <w:spacing w:after="0" w:line="253" w:lineRule="auto"/>
        <w:rPr>
          <w:sz w:val="20"/>
          <w:szCs w:val="20"/>
          <w:color w:val="auto"/>
        </w:rPr>
      </w:pPr>
      <w:r>
        <w:rPr>
          <w:rFonts w:ascii="Times New Roman" w:cs="Times New Roman" w:eastAsia="Times New Roman" w:hAnsi="Times New Roman"/>
          <w:sz w:val="18"/>
          <w:szCs w:val="18"/>
          <w:color w:val="auto"/>
        </w:rPr>
        <w:t>In establishing the reserve for losses and loss adjustment expenses, the Company’s internal actuaries estimate an initial expected ultimate loss ratio for each of our lines of business by accident year. Input from the Company’s underwriting and claims departments, including premium pricing assumptions and historical experience, are considered by the Company’s internal actuaries in estimating the initial expected loss ratios. The Company’s internal actuaries generally utilize five primary actuarial methods in their estimation process for the reserve for losses and loss adjustment expenses. These primary methods are supplemented by additional actuarial methods as the Chief Actuary considers appropriate. For example, these supplemental methods can include frequency and severity methods that utilize claim count data to estimate ultimate losses and loss adjustment expenses. These methods utilize, to varying degrees, the initial expected loss ratio, detailed statistical analysis of past claims reporting and payment patterns, claims frequency and severity, paid loss experience, industry loss experience, and changes in market conditions and claims handling practices, policy forms, exclusions, and exposures.</w:t>
      </w:r>
    </w:p>
    <w:p>
      <w:pPr>
        <w:spacing w:after="0" w:line="82" w:lineRule="exact"/>
        <w:rPr>
          <w:sz w:val="20"/>
          <w:szCs w:val="20"/>
          <w:color w:val="auto"/>
        </w:rPr>
      </w:pPr>
    </w:p>
    <w:p>
      <w:pPr>
        <w:ind w:firstLine="363"/>
        <w:spacing w:after="0" w:line="253" w:lineRule="auto"/>
        <w:rPr>
          <w:sz w:val="20"/>
          <w:szCs w:val="20"/>
          <w:color w:val="auto"/>
        </w:rPr>
      </w:pPr>
      <w:r>
        <w:rPr>
          <w:rFonts w:ascii="Times New Roman" w:cs="Times New Roman" w:eastAsia="Times New Roman" w:hAnsi="Times New Roman"/>
          <w:sz w:val="18"/>
          <w:szCs w:val="18"/>
          <w:color w:val="auto"/>
        </w:rPr>
        <w:t>In applying these methods to develop an estimate of the reserve for losses and loss adjustment expenses, our internal actuaries use judgment to determine three key parameters for each accident year and line of business: the initial expected loss ratios, the incurred and paid loss development factors and the weighting of the actuarial methods to be used for each accident year and line of business. For the Excess and Surplus Lines segment, the internal actuaries perform a study on each of these parameters at least annually and make recommendations for the initial expected loss ratios, the incurred and paid loss development factors and the weighting of the actuarial methods by accident year and line of business. Members of management’s Reserve Committee review and approve the parameter review actuarial recommendations, and absent any developments requiring an earlier review, these approved parameters are used in the reserve estimation process for the next four quarters at which time a new parameter study is performed. For the Specialty Admitted Insurance segment, expected loss ratios, loss development factors, and loss cost trends are reviewed and updated at least annually.</w:t>
      </w:r>
    </w:p>
    <w:p>
      <w:pPr>
        <w:spacing w:after="0" w:line="82" w:lineRule="exact"/>
        <w:rPr>
          <w:sz w:val="20"/>
          <w:szCs w:val="20"/>
          <w:color w:val="auto"/>
        </w:rPr>
      </w:pPr>
    </w:p>
    <w:p>
      <w:pPr>
        <w:ind w:right="240" w:firstLine="363"/>
        <w:spacing w:after="0" w:line="259" w:lineRule="auto"/>
        <w:rPr>
          <w:sz w:val="20"/>
          <w:szCs w:val="20"/>
          <w:color w:val="auto"/>
        </w:rPr>
      </w:pPr>
      <w:r>
        <w:rPr>
          <w:rFonts w:ascii="Times New Roman" w:cs="Times New Roman" w:eastAsia="Times New Roman" w:hAnsi="Times New Roman"/>
          <w:sz w:val="18"/>
          <w:szCs w:val="18"/>
          <w:color w:val="auto"/>
        </w:rPr>
        <w:t>Different reserving methods are appropriate in different situations, and the Company’s internal actuaries use their judgment and experience to determine the weighting of the methods to use for each accident year and each line of business. For example, the current accident year has very little incurred and paid loss development data on which to base reserve projections. As a result, the Company relies heavily on the initial expected loss ratio in estimating reserves for the current accident year.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Company generally sets the initial expected loss ratio for the current accident year consistent with the internal actuaries’ pricing assumptions adjusted upward where warranted based on management's judgment in order to produce the best estimate. We believe that this is a reasonable and appropriate reserving assumption for the current accident year since our pricing assumptions are actuarially driven and since the Company expects to make an acceptable return on the new business written. If actual loss emergence is better than our initial expected loss ratio assumptions, we will experience favorable development and if it is worse than our initial expected loss ratio assumptions, we will experience adverse development. Conversely, sufficient incurred and paid loss development data is available for the oldest accident years, so more weight is given to this development data and less weight is given to the initial expected loss ratio.</w:t>
      </w:r>
    </w:p>
    <w:p>
      <w:pPr>
        <w:spacing w:after="0" w:line="7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loss adjustment expenses, net of reinsurance, to the gross amounts reported in the consolidated balance sheets. Reinsurance recoverables on unpaid losses and loss adjustment expenses are presented gross of an allowance for credit losses on reinsurance balances of $1.2 million, $660,000, and $580,000 at December 31, 2024, 2023, and 2022,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80" w:type="dxa"/>
            <w:vAlign w:val="bottom"/>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7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0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Reserve for losses and loss adjustment expenses net of reinsurance recoverables at beginning of</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1,246,973</w:t>
            </w: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1,080,766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974,221</w:t>
            </w:r>
          </w:p>
        </w:tc>
        <w:tc>
          <w:tcPr>
            <w:tcW w:w="0" w:type="dxa"/>
            <w:vAlign w:val="bottom"/>
          </w:tcPr>
          <w:p>
            <w:pPr>
              <w:spacing w:after="0"/>
              <w:rPr>
                <w:sz w:val="1"/>
                <w:szCs w:val="1"/>
                <w:color w:val="auto"/>
              </w:rPr>
            </w:pP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Incurred losses and loss adjustment expenses net of reinsurance:</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441,058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429,260</w:t>
            </w:r>
          </w:p>
        </w:tc>
        <w:tc>
          <w:tcPr>
            <w:tcW w:w="0" w:type="dxa"/>
            <w:vAlign w:val="bottom"/>
          </w:tcPr>
          <w:p>
            <w:pPr>
              <w:spacing w:after="0"/>
              <w:rPr>
                <w:sz w:val="1"/>
                <w:szCs w:val="1"/>
                <w:color w:val="auto"/>
              </w:rPr>
            </w:pPr>
          </w:p>
        </w:tc>
      </w:tr>
      <w:tr>
        <w:trPr>
          <w:trHeight w:val="228"/>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years - retroactive reinsurance</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w:t>
            </w:r>
          </w:p>
        </w:tc>
        <w:tc>
          <w:tcPr>
            <w:tcW w:w="0" w:type="dxa"/>
            <w:vAlign w:val="bottom"/>
          </w:tcPr>
          <w:p>
            <w:pPr>
              <w:spacing w:after="0"/>
              <w:rPr>
                <w:sz w:val="1"/>
                <w:szCs w:val="1"/>
                <w:color w:val="auto"/>
              </w:rPr>
            </w:pPr>
          </w:p>
        </w:tc>
      </w:tr>
      <w:tr>
        <w:trPr>
          <w:trHeight w:val="228"/>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years - excluding retroactive reinsurance</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76,079</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0" w:type="dxa"/>
            <w:vAlign w:val="bottom"/>
          </w:tcPr>
          <w:p>
            <w:pPr>
              <w:spacing w:after="0"/>
              <w:rPr>
                <w:sz w:val="1"/>
                <w:szCs w:val="1"/>
                <w:color w:val="auto"/>
              </w:rPr>
            </w:pPr>
          </w:p>
        </w:tc>
      </w:tr>
      <w:tr>
        <w:trPr>
          <w:trHeight w:val="222"/>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incurred losses and loss and adjustment expenses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554,374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440,642</w:t>
            </w:r>
          </w:p>
        </w:tc>
        <w:tc>
          <w:tcPr>
            <w:tcW w:w="0" w:type="dxa"/>
            <w:vAlign w:val="bottom"/>
          </w:tcPr>
          <w:p>
            <w:pPr>
              <w:spacing w:after="0"/>
              <w:rPr>
                <w:sz w:val="1"/>
                <w:szCs w:val="1"/>
                <w:color w:val="auto"/>
              </w:rPr>
            </w:pP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 Loss and loss adjustment expense payments net of reinsurance:</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33,720</w:t>
            </w:r>
          </w:p>
        </w:tc>
        <w:tc>
          <w:tcPr>
            <w:tcW w:w="0" w:type="dxa"/>
            <w:vAlign w:val="bottom"/>
          </w:tcPr>
          <w:p>
            <w:pPr>
              <w:spacing w:after="0"/>
              <w:rPr>
                <w:sz w:val="1"/>
                <w:szCs w:val="1"/>
                <w:color w:val="auto"/>
              </w:rPr>
            </w:pPr>
          </w:p>
        </w:tc>
      </w:tr>
      <w:tr>
        <w:trPr>
          <w:trHeight w:val="228"/>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333,277</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296,549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284,635</w:t>
            </w:r>
          </w:p>
        </w:tc>
        <w:tc>
          <w:tcPr>
            <w:tcW w:w="0" w:type="dxa"/>
            <w:vAlign w:val="bottom"/>
          </w:tcPr>
          <w:p>
            <w:pPr>
              <w:spacing w:after="0"/>
              <w:rPr>
                <w:sz w:val="1"/>
                <w:szCs w:val="1"/>
                <w:color w:val="auto"/>
              </w:rPr>
            </w:pPr>
          </w:p>
        </w:tc>
      </w:tr>
      <w:tr>
        <w:trPr>
          <w:trHeight w:val="222"/>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loss and loss adjustment expense payments</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364,590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328,959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318,355</w:t>
            </w:r>
          </w:p>
        </w:tc>
        <w:tc>
          <w:tcPr>
            <w:tcW w:w="0" w:type="dxa"/>
            <w:vAlign w:val="bottom"/>
          </w:tcPr>
          <w:p>
            <w:pPr>
              <w:spacing w:after="0"/>
              <w:rPr>
                <w:sz w:val="1"/>
                <w:szCs w:val="1"/>
                <w:color w:val="auto"/>
              </w:rPr>
            </w:pPr>
          </w:p>
        </w:tc>
      </w:tr>
      <w:tr>
        <w:trPr>
          <w:trHeight w:val="22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 Change in deferred reinsurance gain - retroactive reinsurance</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15,742</w:t>
            </w:r>
          </w:p>
        </w:tc>
        <w:tc>
          <w:tcPr>
            <w:tcW w:w="0" w:type="dxa"/>
            <w:vAlign w:val="bottom"/>
          </w:tcPr>
          <w:p>
            <w:pPr>
              <w:spacing w:after="0"/>
              <w:rPr>
                <w:sz w:val="1"/>
                <w:szCs w:val="1"/>
                <w:color w:val="auto"/>
              </w:rPr>
            </w:pP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 Loss reserves ceded in E&amp;S ADC</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313,242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loss adjustment expenses net of reinsurance recoverables at end of period</w:t>
            </w:r>
          </w:p>
        </w:tc>
        <w:tc>
          <w:tcPr>
            <w:tcW w:w="3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1,086,278</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1,246,973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1,080,766</w:t>
            </w:r>
          </w:p>
        </w:tc>
        <w:tc>
          <w:tcPr>
            <w:tcW w:w="0" w:type="dxa"/>
            <w:vAlign w:val="bottom"/>
          </w:tcPr>
          <w:p>
            <w:pPr>
              <w:spacing w:after="0"/>
              <w:rPr>
                <w:sz w:val="1"/>
                <w:szCs w:val="1"/>
                <w:color w:val="auto"/>
              </w:rPr>
            </w:pPr>
          </w:p>
        </w:tc>
      </w:tr>
      <w:tr>
        <w:trPr>
          <w:trHeight w:val="228"/>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Reinsurance recoverables on unpaid losses and loss adjustment expenses at end of period</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1,998,128</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1,359,134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1,260,197</w:t>
            </w:r>
          </w:p>
        </w:tc>
        <w:tc>
          <w:tcPr>
            <w:tcW w:w="0" w:type="dxa"/>
            <w:vAlign w:val="bottom"/>
          </w:tcPr>
          <w:p>
            <w:pPr>
              <w:spacing w:after="0"/>
              <w:rPr>
                <w:sz w:val="1"/>
                <w:szCs w:val="1"/>
                <w:color w:val="auto"/>
              </w:rPr>
            </w:pPr>
          </w:p>
        </w:tc>
      </w:tr>
      <w:tr>
        <w:trPr>
          <w:trHeight w:val="155"/>
        </w:trPr>
        <w:tc>
          <w:tcPr>
            <w:tcW w:w="704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Reserve for losses and loss adjustment expenses gross of reinsurance recoverables on unpaid</w:t>
            </w: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3,084,406</w:t>
            </w:r>
          </w:p>
        </w:tc>
        <w:tc>
          <w:tcPr>
            <w:tcW w:w="3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2,606,107</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2,340,963</w:t>
            </w:r>
          </w:p>
        </w:tc>
        <w:tc>
          <w:tcPr>
            <w:tcW w:w="0" w:type="dxa"/>
            <w:vAlign w:val="bottom"/>
          </w:tcPr>
          <w:p>
            <w:pPr>
              <w:spacing w:after="0"/>
              <w:rPr>
                <w:sz w:val="1"/>
                <w:szCs w:val="1"/>
                <w:color w:val="auto"/>
              </w:rPr>
            </w:pPr>
          </w:p>
        </w:tc>
      </w:tr>
      <w:tr>
        <w:trPr>
          <w:trHeight w:val="23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at end of period</w:t>
            </w:r>
          </w:p>
        </w:tc>
        <w:tc>
          <w:tcPr>
            <w:tcW w:w="32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320" w:type="dxa"/>
            <w:vAlign w:val="bottom"/>
            <w:gridSpan w:val="3"/>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right="180" w:firstLine="363"/>
        <w:spacing w:after="0" w:line="256" w:lineRule="auto"/>
        <w:rPr>
          <w:sz w:val="20"/>
          <w:szCs w:val="20"/>
          <w:color w:val="auto"/>
        </w:rPr>
      </w:pPr>
      <w:r>
        <w:rPr>
          <w:rFonts w:ascii="Times New Roman" w:cs="Times New Roman" w:eastAsia="Times New Roman" w:hAnsi="Times New Roman"/>
          <w:sz w:val="18"/>
          <w:szCs w:val="18"/>
          <w:color w:val="auto"/>
        </w:rPr>
        <w:t xml:space="preserve">The foregoing reconciliation shows that $76.1 million of net adverse development was experienced in 2024 on the reserve for losses and loss adjustment expenses held at December 31, 2023 (excluding adverse prior year development subject to retroactive reinsurance accounting - see </w:t>
      </w:r>
      <w:r>
        <w:rPr>
          <w:rFonts w:ascii="Times New Roman" w:cs="Times New Roman" w:eastAsia="Times New Roman" w:hAnsi="Times New Roman"/>
          <w:sz w:val="18"/>
          <w:szCs w:val="18"/>
          <w:i w:val="1"/>
          <w:iCs w:val="1"/>
          <w:color w:val="auto"/>
        </w:rPr>
        <w:t>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Portfolio Transfers and Adverse Development Covers </w:t>
      </w:r>
      <w:r>
        <w:rPr>
          <w:rFonts w:ascii="Times New Roman" w:cs="Times New Roman" w:eastAsia="Times New Roman" w:hAnsi="Times New Roman"/>
          <w:sz w:val="18"/>
          <w:szCs w:val="18"/>
          <w:color w:val="auto"/>
        </w:rPr>
        <w:t>below). This net adverse reserve development included $76.7 million of net adverse development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Excess and Surplus Lines segment, including a $52.2 million reserve charge upon execution of the E&amp;S ADC (consideration paid in excess of initial reserves), and $607,000 of net favorable development in the Specialty Admitted Insurance segment.</w:t>
      </w:r>
    </w:p>
    <w:p>
      <w:pPr>
        <w:spacing w:after="0" w:line="79" w:lineRule="exact"/>
        <w:rPr>
          <w:sz w:val="20"/>
          <w:szCs w:val="20"/>
          <w:color w:val="auto"/>
        </w:rPr>
      </w:pPr>
    </w:p>
    <w:p>
      <w:pPr>
        <w:ind w:right="20" w:firstLine="363"/>
        <w:spacing w:after="0" w:line="256" w:lineRule="auto"/>
        <w:rPr>
          <w:sz w:val="20"/>
          <w:szCs w:val="20"/>
          <w:color w:val="auto"/>
        </w:rPr>
      </w:pPr>
      <w:r>
        <w:rPr>
          <w:rFonts w:ascii="Times New Roman" w:cs="Times New Roman" w:eastAsia="Times New Roman" w:hAnsi="Times New Roman"/>
          <w:sz w:val="18"/>
          <w:szCs w:val="18"/>
          <w:color w:val="auto"/>
        </w:rPr>
        <w:t xml:space="preserve">The foregoing reconciliation shows that $31.6 million of net adverse development was experienced in 2023 on the reserve for losses and loss adjustment expenses held at December 31, 2022 (excluding adverse prior year development subject to retroactive reinsurance accounting - see </w:t>
      </w:r>
      <w:r>
        <w:rPr>
          <w:rFonts w:ascii="Times New Roman" w:cs="Times New Roman" w:eastAsia="Times New Roman" w:hAnsi="Times New Roman"/>
          <w:sz w:val="18"/>
          <w:szCs w:val="18"/>
          <w:i w:val="1"/>
          <w:iCs w:val="1"/>
          <w:color w:val="auto"/>
        </w:rPr>
        <w:t>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Portfolio Transfers and Adverse Development Covers </w:t>
      </w:r>
      <w:r>
        <w:rPr>
          <w:rFonts w:ascii="Times New Roman" w:cs="Times New Roman" w:eastAsia="Times New Roman" w:hAnsi="Times New Roman"/>
          <w:sz w:val="18"/>
          <w:szCs w:val="18"/>
          <w:color w:val="auto"/>
        </w:rPr>
        <w:t>below). This net adverse reserve development included $32.6 million of net adverse development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Excess and Surplus Lines segment, with adverse development in accident years 2020 and prior exceeding favorable development on accident years 2022 and 2021, and $972,000 of net favorable development in the Specialty Admitted Insurance segment.</w:t>
      </w:r>
    </w:p>
    <w:p>
      <w:pPr>
        <w:spacing w:after="0" w:line="79" w:lineRule="exact"/>
        <w:rPr>
          <w:sz w:val="20"/>
          <w:szCs w:val="20"/>
          <w:color w:val="auto"/>
        </w:rPr>
      </w:pPr>
    </w:p>
    <w:p>
      <w:pPr>
        <w:jc w:val="both"/>
        <w:ind w:right="660" w:firstLine="363"/>
        <w:spacing w:after="0" w:line="264" w:lineRule="auto"/>
        <w:rPr>
          <w:sz w:val="20"/>
          <w:szCs w:val="20"/>
          <w:color w:val="auto"/>
        </w:rPr>
      </w:pPr>
      <w:r>
        <w:rPr>
          <w:rFonts w:ascii="Times New Roman" w:cs="Times New Roman" w:eastAsia="Times New Roman" w:hAnsi="Times New Roman"/>
          <w:sz w:val="18"/>
          <w:szCs w:val="18"/>
          <w:color w:val="auto"/>
        </w:rPr>
        <w:t xml:space="preserve">The foregoing reconciliation shows that $4.4 million of net favorable development was experienced in 2022 on the reserve for losses and loss adjustment expenses held at December 31, 2021 (excluding adverse prior year development subject to retroactive reinsurance accounting - see </w:t>
      </w:r>
      <w:r>
        <w:rPr>
          <w:rFonts w:ascii="Times New Roman" w:cs="Times New Roman" w:eastAsia="Times New Roman" w:hAnsi="Times New Roman"/>
          <w:sz w:val="18"/>
          <w:szCs w:val="18"/>
          <w:i w:val="1"/>
          <w:iCs w:val="1"/>
          <w:color w:val="auto"/>
        </w:rPr>
        <w:t>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Portfolio Transfers and Adverse Development Covers </w:t>
      </w:r>
      <w:r>
        <w:rPr>
          <w:rFonts w:ascii="Times New Roman" w:cs="Times New Roman" w:eastAsia="Times New Roman" w:hAnsi="Times New Roman"/>
          <w:sz w:val="18"/>
          <w:szCs w:val="18"/>
          <w:color w:val="auto"/>
        </w:rPr>
        <w:t>below). This net favorable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right="640"/>
        <w:spacing w:after="0" w:line="264" w:lineRule="auto"/>
        <w:rPr>
          <w:sz w:val="20"/>
          <w:szCs w:val="20"/>
          <w:color w:val="auto"/>
        </w:rPr>
      </w:pPr>
      <w:r>
        <w:rPr>
          <w:rFonts w:ascii="Times New Roman" w:cs="Times New Roman" w:eastAsia="Times New Roman" w:hAnsi="Times New Roman"/>
          <w:sz w:val="18"/>
          <w:szCs w:val="18"/>
          <w:color w:val="auto"/>
        </w:rPr>
        <w:t>reserve development included $210,000 of net favorable development in the Excess and Surplus Lines segment and $4.2 million of net favorable development in the Specialty Admitted Insurance segment. The Company also experienced $5.0 million of net catastrophe losses in 2022 related to Hurricane Ian.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Portfolio Transfers and Adverse Development Covers</w:t>
      </w:r>
    </w:p>
    <w:p>
      <w:pPr>
        <w:spacing w:after="0" w:line="119" w:lineRule="exact"/>
        <w:rPr>
          <w:sz w:val="20"/>
          <w:szCs w:val="20"/>
          <w:color w:val="auto"/>
        </w:rPr>
      </w:pPr>
    </w:p>
    <w:p>
      <w:pPr>
        <w:ind w:right="340" w:firstLine="323"/>
        <w:spacing w:after="0" w:line="259" w:lineRule="auto"/>
        <w:rPr>
          <w:sz w:val="20"/>
          <w:szCs w:val="20"/>
          <w:color w:val="auto"/>
        </w:rPr>
      </w:pPr>
      <w:r>
        <w:rPr>
          <w:rFonts w:ascii="Times New Roman" w:cs="Times New Roman" w:eastAsia="Times New Roman" w:hAnsi="Times New Roman"/>
          <w:sz w:val="18"/>
          <w:szCs w:val="18"/>
          <w:color w:val="auto"/>
        </w:rPr>
        <w:t>Loss portfolio transfers and adverse development covers are forms of retroactive reinsurance utilized by the Company to transfer losses and loss adjustment expenses and associated risk of adverse development on covered subject business, as defined in the respective agreements, to an assuming reinsurer in exchange for a reinsurance premium. This reinsurance can bring economic finality (up to the limit of such agreements, if applicable) on the subject risks when they no longer meet the Company's risk appetite or are no longer aligned with the Company's risk management guidelines.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Auto Loss Portfolio Transfer</w:t>
      </w:r>
    </w:p>
    <w:p>
      <w:pPr>
        <w:spacing w:after="0" w:line="119" w:lineRule="exact"/>
        <w:rPr>
          <w:sz w:val="20"/>
          <w:szCs w:val="20"/>
          <w:color w:val="auto"/>
        </w:rPr>
      </w:pPr>
    </w:p>
    <w:p>
      <w:pPr>
        <w:ind w:right="140" w:firstLine="323"/>
        <w:spacing w:after="0" w:line="255" w:lineRule="auto"/>
        <w:rPr>
          <w:sz w:val="20"/>
          <w:szCs w:val="20"/>
          <w:color w:val="auto"/>
        </w:rPr>
      </w:pPr>
      <w:r>
        <w:rPr>
          <w:rFonts w:ascii="Times New Roman" w:cs="Times New Roman" w:eastAsia="Times New Roman" w:hAnsi="Times New Roman"/>
          <w:sz w:val="18"/>
          <w:szCs w:val="18"/>
          <w:color w:val="auto"/>
        </w:rPr>
        <w:t>On September 27, 2021, James River Insurance and James River Casualty Company (together, “James River”) entered into a loss portfolio transfer transaction (the “Commercial Auto LPT”)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The reinsurance coverage is structured to be fully collateralized, is not subject to an aggregate limit, and is subject to certain exclusions. The cumulative amounts ceded under the loss portfolio transfer were $459.3 million, $456.2 million and $391.8 million as of December 31, 2024, 2023, and 2022, respectively.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Loss Portfolio Transfer and Adverse Development Cover</w:t>
      </w:r>
    </w:p>
    <w:p>
      <w:pPr>
        <w:spacing w:after="0" w:line="119" w:lineRule="exact"/>
        <w:rPr>
          <w:sz w:val="20"/>
          <w:szCs w:val="20"/>
          <w:color w:val="auto"/>
        </w:rPr>
      </w:pPr>
    </w:p>
    <w:p>
      <w:pPr>
        <w:ind w:right="420" w:firstLine="323"/>
        <w:spacing w:after="0" w:line="280" w:lineRule="auto"/>
        <w:rPr>
          <w:sz w:val="20"/>
          <w:szCs w:val="20"/>
          <w:color w:val="auto"/>
        </w:rPr>
      </w:pPr>
      <w:r>
        <w:rPr>
          <w:rFonts w:ascii="Times New Roman" w:cs="Times New Roman" w:eastAsia="Times New Roman" w:hAnsi="Times New Roman"/>
          <w:sz w:val="18"/>
          <w:szCs w:val="18"/>
          <w:color w:val="auto"/>
        </w:rPr>
        <w:t>On July 2, 2024, James River entered into a Combined Loss Portfolio Transfer and Adverse Development Cover Reinsurance Contract (the “E&amp;S ADC”) with State National Insurance Company, Inc. (“State National”). The transaction closed upon signing.</w:t>
      </w:r>
    </w:p>
    <w:p>
      <w:pPr>
        <w:spacing w:after="0" w:line="55" w:lineRule="exact"/>
        <w:rPr>
          <w:sz w:val="20"/>
          <w:szCs w:val="20"/>
          <w:color w:val="auto"/>
        </w:rPr>
      </w:pPr>
    </w:p>
    <w:p>
      <w:pPr>
        <w:ind w:firstLine="323"/>
        <w:spacing w:after="0" w:line="253" w:lineRule="auto"/>
        <w:rPr>
          <w:sz w:val="20"/>
          <w:szCs w:val="20"/>
          <w:color w:val="auto"/>
        </w:rPr>
      </w:pPr>
      <w:r>
        <w:rPr>
          <w:rFonts w:ascii="Times New Roman" w:cs="Times New Roman" w:eastAsia="Times New Roman" w:hAnsi="Times New Roman"/>
          <w:sz w:val="18"/>
          <w:szCs w:val="18"/>
          <w:color w:val="auto"/>
        </w:rPr>
        <w:t>The E&amp;S ADC was effective January 1, 2024 (the “Effective Date”) and applies to James River’s Excess &amp; Surplus Lines segment casualty portfolio losses attaching to premium earned during 2010-2023 (both years inclusive), excluding, among others, losses related to commercial auto policies issued to a former large insured or its affiliates (the “Subject Business”). Pursuant to the E&amp;S ADC, (a) State National reinsures 85% of losses paid on and after the Effective Date in respect of the Subject Business in excess of $716.6 million up to an aggregate limit of $467.1 million (with State National’s share of the aggregate limit being $397.0 million) in exchange for a reinsurance premium paid by James River equal to $313.2 million, (b) James River continues to manage claims and to manage and collect the benefit of other existing third-party reinsurance on the Subject Business, which third-party reinsurance inures to the benefit of the E&amp;S ADC, and (c) James River is entitled to a profit commission of 50% of any favorable development on the business ceded to State National below 104.5% of carried reserves, which profit commission shall not exceed $87.0 million in total. The Company has $41.2 million of aggregate limit remaining on the E&amp;S ADC at December 31,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Development Cover</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11, 2024, Enstar Group Limited ("Enstar"), through its subsidiary Cavello Bay Reinsurance Limited, entered into an adverse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cover agreement with James River ("E&amp;S Top Up ADC"), pursuant to which, in exchange for a premium of $52.8 million (less an amount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equal to the federal excise tax payable on the premium), Cavello Bay reinsures, effective January 1, 2024, 100% of the losses associated with James River’s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Excess &amp; Surplus Lines segment casualty portfolio losses attaching to premium earned during 2010-2023 (both years inclusive). The E&amp;S Top Up ADC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excludes losses related to commercial auto policies issued to a former large insured or its affiliates and is subject to a retention by James River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$1,183.7 million (the limit of the E&amp;S ADC executed on July 2, 2024) and up to an aggregate limit of $75.0 million. The E&amp;S Top Up ADC closed 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23, 2024. The Company recognized a $52.8 million reduction in pre-tax income in connection with the adverse development cover upon closing.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$75.0 million of aggregate limit remaining on the E&amp;S Top Up ADC at December 31, 2024.</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Retroactive Reinsurance Accounting</w:t>
      </w:r>
    </w:p>
    <w:p>
      <w:pPr>
        <w:spacing w:after="0" w:line="119" w:lineRule="exact"/>
        <w:rPr>
          <w:sz w:val="20"/>
          <w:szCs w:val="20"/>
          <w:color w:val="auto"/>
        </w:rPr>
      </w:pPr>
    </w:p>
    <w:p>
      <w:pPr>
        <w:ind w:right="60" w:firstLine="323"/>
        <w:spacing w:after="0" w:line="275" w:lineRule="auto"/>
        <w:rPr>
          <w:sz w:val="20"/>
          <w:szCs w:val="20"/>
          <w:color w:val="auto"/>
        </w:rPr>
      </w:pPr>
      <w:r>
        <w:rPr>
          <w:rFonts w:ascii="Times New Roman" w:cs="Times New Roman" w:eastAsia="Times New Roman" w:hAnsi="Times New Roman"/>
          <w:sz w:val="17"/>
          <w:szCs w:val="17"/>
          <w:color w:val="auto"/>
        </w:rPr>
        <w:t>The Company periodically reevaluates the remaining reserves subject to the Commercial Auto LPT, the E&amp;S ADC, and the E&amp;S Top Up ADC, and when recognized adverse prior year development on the subject business causes the cumulative amounts ceded under the agreements to exceed the consideration paid, the agreements move into a gain position subject to retroactive reinsurance accounting under GAAP. Gains are deferred under retroactive reinsurance accounting and recognized in earnings in proportion to actual paid recoveries under the agreements using the recovery method. While the deferral of gains can introduce volatility in our results in the short-term, over the life of the contract, we would expect no economic impact to the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color w:val="auto"/>
        </w:rPr>
        <w:t>Company as long as the counterparty performs under the contract. The impact of retroactive reinsurance accounting is not indicative of our current and ongoing operations.</w:t>
      </w:r>
    </w:p>
    <w:p>
      <w:pPr>
        <w:spacing w:after="0" w:line="55" w:lineRule="exact"/>
        <w:rPr>
          <w:sz w:val="20"/>
          <w:szCs w:val="20"/>
          <w:color w:val="auto"/>
        </w:rPr>
      </w:pPr>
    </w:p>
    <w:p>
      <w:pPr>
        <w:ind w:right="800" w:firstLine="323"/>
        <w:spacing w:after="0" w:line="280" w:lineRule="auto"/>
        <w:rPr>
          <w:sz w:val="20"/>
          <w:szCs w:val="20"/>
          <w:color w:val="auto"/>
        </w:rPr>
      </w:pPr>
      <w:r>
        <w:rPr>
          <w:rFonts w:ascii="Times New Roman" w:cs="Times New Roman" w:eastAsia="Times New Roman" w:hAnsi="Times New Roman"/>
          <w:sz w:val="18"/>
          <w:szCs w:val="18"/>
          <w:color w:val="auto"/>
        </w:rPr>
        <w:t>The following tables summarize the retroactive reinsurance accounting for the Commercial Auto LPT and the E&amp;S ADC for the years ended December 31, 2024, 2023, and 2022.</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6"/>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5"/>
        </w:trPr>
        <w:tc>
          <w:tcPr>
            <w:tcW w:w="7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Commercial Auto LPT</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beginning of period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Adverse prior year development on subject business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46,697</w:t>
            </w:r>
          </w:p>
        </w:tc>
      </w:tr>
      <w:tr>
        <w:trPr>
          <w:trHeight w:val="228"/>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Retroactive reinsurance benefits under the recovery method</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(30,955)</w:t>
            </w:r>
          </w:p>
        </w:tc>
      </w:tr>
      <w:tr>
        <w:trPr>
          <w:trHeight w:val="247"/>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7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E&amp;S ADC</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beginning of period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Adverse prior year development ceded on subject business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Retroactive reinsurance benefits under the recovery method</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end of period</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7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beginning of period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Adverse prior year development on subject business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46,697</w:t>
            </w:r>
          </w:p>
        </w:tc>
      </w:tr>
      <w:tr>
        <w:trPr>
          <w:trHeight w:val="228"/>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Retroactive reinsurance benefits under the recovery method</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(30,955)</w:t>
            </w:r>
          </w:p>
        </w:tc>
      </w:tr>
      <w:tr>
        <w:trPr>
          <w:trHeight w:val="247"/>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jc w:val="both"/>
        <w:ind w:firstLine="363"/>
        <w:spacing w:after="0" w:line="256" w:lineRule="auto"/>
        <w:rPr>
          <w:sz w:val="20"/>
          <w:szCs w:val="20"/>
          <w:color w:val="auto"/>
        </w:rPr>
      </w:pPr>
      <w:r>
        <w:rPr>
          <w:rFonts w:ascii="Times New Roman" w:cs="Times New Roman" w:eastAsia="Times New Roman" w:hAnsi="Times New Roman"/>
          <w:sz w:val="18"/>
          <w:szCs w:val="18"/>
          <w:color w:val="auto"/>
        </w:rPr>
        <w:t>The following tables present incurred and paid losses and loss adjustment expenses, net of reinsurance as of December 31, 2024 for: (1) the Excess and Surplus Lines segment split between all excess and surplus lines business excluding commercial auto, and separately, commercial auto, and (2) the Specialty Admitted Insurance segment split between individual risk workers’ compensation and fronting and programs. The information provided herein about incurred and paid accident year claims development for the years ended December 31, 2023 and prior is presented as “unaudited” supplementary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and Surplus Lines — Excluding Commercial Auto</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Incurred losses and loss adjustment expenses, net of reinsurance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20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1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2015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126,443</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113,417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104,847</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102,434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103,688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110,466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114,398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116,085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118,599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122,048</w:t>
            </w:r>
          </w:p>
        </w:tc>
      </w:tr>
      <w:tr>
        <w:trPr>
          <w:trHeight w:val="218"/>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138,507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125,093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126,050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126,971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125,097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132,235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135,491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141,242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148,400</w:t>
            </w:r>
          </w:p>
        </w:tc>
      </w:tr>
      <w:tr>
        <w:trPr>
          <w:trHeight w:val="212"/>
        </w:trPr>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144,349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131,897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132,136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124,265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128,674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134,272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147,196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155,593</w:t>
            </w:r>
          </w:p>
        </w:tc>
      </w:tr>
      <w:tr>
        <w:trPr>
          <w:trHeight w:val="218"/>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167,004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158,458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146,633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150,687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151,563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167,237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173,186</w:t>
            </w:r>
          </w:p>
        </w:tc>
      </w:tr>
      <w:tr>
        <w:trPr>
          <w:trHeight w:val="212"/>
        </w:trPr>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214,653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194,759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189,671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188,061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204,844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228,076</w:t>
            </w:r>
          </w:p>
        </w:tc>
      </w:tr>
      <w:tr>
        <w:trPr>
          <w:trHeight w:val="218"/>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239,897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211,732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207,210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231,658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273,883</w:t>
            </w:r>
          </w:p>
        </w:tc>
      </w:tr>
      <w:tr>
        <w:trPr>
          <w:trHeight w:val="212"/>
        </w:trPr>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304,435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286,343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274,120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307,338</w:t>
            </w:r>
          </w:p>
        </w:tc>
      </w:tr>
      <w:tr>
        <w:trPr>
          <w:trHeight w:val="218"/>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340,436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293,402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320,146</w:t>
            </w:r>
          </w:p>
        </w:tc>
      </w:tr>
      <w:tr>
        <w:trPr>
          <w:trHeight w:val="212"/>
        </w:trPr>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369,255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330,330</w:t>
            </w:r>
          </w:p>
        </w:tc>
      </w:tr>
      <w:tr>
        <w:trPr>
          <w:trHeight w:val="215"/>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360,426</w:t>
            </w:r>
          </w:p>
        </w:tc>
      </w:tr>
      <w:tr>
        <w:trPr>
          <w:trHeight w:val="211"/>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2,419,426</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Cumulative paid losses and loss adjustment expenses, net of reinsurance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200" w:type="dxa"/>
            <w:vAlign w:val="bottom"/>
          </w:tcPr>
          <w:p>
            <w:pPr>
              <w:spacing w:after="0"/>
              <w:rPr>
                <w:sz w:val="16"/>
                <w:szCs w:val="16"/>
                <w:color w:val="auto"/>
              </w:rPr>
            </w:pPr>
          </w:p>
        </w:tc>
        <w:tc>
          <w:tcPr>
            <w:tcW w:w="68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1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2015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4,048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34,801</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55,911</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73,455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87,344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94,494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103,138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110,860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112,793</w:t>
            </w:r>
          </w:p>
        </w:tc>
      </w:tr>
      <w:tr>
        <w:trPr>
          <w:trHeight w:val="218"/>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46,045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102,072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133,928</w:t>
            </w:r>
          </w:p>
        </w:tc>
      </w:tr>
      <w:tr>
        <w:trPr>
          <w:trHeight w:val="212"/>
        </w:trPr>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22,956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81,303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132,182</w:t>
            </w:r>
          </w:p>
        </w:tc>
      </w:tr>
      <w:tr>
        <w:trPr>
          <w:trHeight w:val="218"/>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76,494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138,319</w:t>
            </w:r>
          </w:p>
        </w:tc>
      </w:tr>
      <w:tr>
        <w:trPr>
          <w:trHeight w:val="212"/>
        </w:trPr>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62,227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166,472</w:t>
            </w:r>
          </w:p>
        </w:tc>
      </w:tr>
      <w:tr>
        <w:trPr>
          <w:trHeight w:val="218"/>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34,561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168,550</w:t>
            </w:r>
          </w:p>
        </w:tc>
      </w:tr>
      <w:tr>
        <w:trPr>
          <w:trHeight w:val="212"/>
        </w:trPr>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11,693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154,168</w:t>
            </w:r>
          </w:p>
        </w:tc>
      </w:tr>
      <w:tr>
        <w:trPr>
          <w:trHeight w:val="218"/>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108,960</w:t>
            </w:r>
          </w:p>
        </w:tc>
      </w:tr>
      <w:tr>
        <w:trPr>
          <w:trHeight w:val="212"/>
        </w:trPr>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49,094</w:t>
            </w:r>
          </w:p>
        </w:tc>
      </w:tr>
      <w:tr>
        <w:trPr>
          <w:trHeight w:val="215"/>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11,096</w:t>
            </w:r>
          </w:p>
        </w:tc>
      </w:tr>
      <w:tr>
        <w:trPr>
          <w:trHeight w:val="211"/>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1,175,562</w:t>
            </w:r>
          </w:p>
        </w:tc>
      </w:tr>
      <w:tr>
        <w:trPr>
          <w:trHeight w:val="20"/>
        </w:trPr>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4"/>
        </w:trPr>
        <w:tc>
          <w:tcPr>
            <w:tcW w:w="6220" w:type="dxa"/>
            <w:vAlign w:val="bottom"/>
            <w:tcBorders>
              <w:bottom w:val="single" w:sz="8" w:color="CCEEFF"/>
            </w:tcBorders>
            <w:gridSpan w:val="1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outstanding losses and loss adjustment expenses, net of reinsurance before E&amp;S ADC</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1,243,864</w:t>
            </w: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89"/>
        </w:trPr>
        <w:tc>
          <w:tcPr>
            <w:tcW w:w="32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Reinsurance recoverable for E&amp;S ADC</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349,337</w:t>
            </w:r>
          </w:p>
        </w:tc>
      </w:tr>
      <w:tr>
        <w:trPr>
          <w:trHeight w:val="20"/>
        </w:trPr>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4"/>
        </w:trPr>
        <w:tc>
          <w:tcPr>
            <w:tcW w:w="7200" w:type="dxa"/>
            <w:vAlign w:val="bottom"/>
            <w:tcBorders>
              <w:bottom w:val="single" w:sz="8" w:color="CCEEFF"/>
            </w:tcBorders>
            <w:gridSpan w:val="2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outstanding losses and loss adjustment expenses prior to 2015, net of reinsurance (81 claims outstanding)</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14,834</w:t>
            </w: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89"/>
        </w:trPr>
        <w:tc>
          <w:tcPr>
            <w:tcW w:w="522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auto"/>
              </w:rPr>
              <w:t>Total outstanding losses and loss adjustment expenses, net of reinsurance</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909,361</w:t>
            </w: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and Surplus Lines — Commercial Auto</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Incurred losses and loss adjustment expenses, net of reinsurance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180" w:type="dxa"/>
            <w:vAlign w:val="bottom"/>
          </w:tcPr>
          <w:p>
            <w:pPr>
              <w:spacing w:after="0"/>
              <w:rPr>
                <w:sz w:val="16"/>
                <w:szCs w:val="16"/>
                <w:color w:val="auto"/>
              </w:rPr>
            </w:pPr>
          </w:p>
        </w:tc>
        <w:tc>
          <w:tcPr>
            <w:tcW w:w="72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6"/>
                <w:szCs w:val="16"/>
                <w:color w:val="auto"/>
              </w:rPr>
            </w:pPr>
          </w:p>
        </w:tc>
        <w:tc>
          <w:tcPr>
            <w:tcW w:w="7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6"/>
                <w:szCs w:val="16"/>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5"/>
        </w:trPr>
        <w:tc>
          <w:tcPr>
            <w:tcW w:w="1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30,109</w:t>
            </w:r>
          </w:p>
        </w:tc>
        <w:tc>
          <w:tcPr>
            <w:tcW w:w="2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33,113</w:t>
            </w:r>
          </w:p>
        </w:tc>
        <w:tc>
          <w:tcPr>
            <w:tcW w:w="2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35,149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36,636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37,839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38,046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37,950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37,778</w:t>
            </w:r>
          </w:p>
        </w:tc>
      </w:tr>
      <w:tr>
        <w:trPr>
          <w:trHeight w:val="212"/>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74,340</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147,122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165,121</w:t>
            </w:r>
          </w:p>
        </w:tc>
      </w:tr>
      <w:tr>
        <w:trPr>
          <w:trHeight w:val="218"/>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272,421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376,306</w:t>
            </w:r>
          </w:p>
        </w:tc>
      </w:tr>
      <w:tr>
        <w:trPr>
          <w:trHeight w:val="212"/>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230,220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389,244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389,261</w:t>
            </w:r>
          </w:p>
        </w:tc>
      </w:tr>
      <w:tr>
        <w:trPr>
          <w:trHeight w:val="218"/>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262,306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408,340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416,654</w:t>
            </w:r>
          </w:p>
        </w:tc>
      </w:tr>
      <w:tr>
        <w:trPr>
          <w:trHeight w:val="212"/>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22,062</w:t>
            </w:r>
          </w:p>
        </w:tc>
      </w:tr>
      <w:tr>
        <w:trPr>
          <w:trHeight w:val="218"/>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19,998</w:t>
            </w:r>
          </w:p>
        </w:tc>
      </w:tr>
      <w:tr>
        <w:trPr>
          <w:trHeight w:val="212"/>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19,730</w:t>
            </w:r>
          </w:p>
        </w:tc>
      </w:tr>
      <w:tr>
        <w:trPr>
          <w:trHeight w:val="218"/>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16,089</w:t>
            </w:r>
          </w:p>
        </w:tc>
      </w:tr>
      <w:tr>
        <w:trPr>
          <w:trHeight w:val="212"/>
        </w:trPr>
        <w:tc>
          <w:tcPr>
            <w:tcW w:w="1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11,602</w:t>
            </w:r>
          </w:p>
        </w:tc>
      </w:tr>
      <w:tr>
        <w:trPr>
          <w:trHeight w:val="236"/>
        </w:trPr>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1,474,601</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Cumulative paid losses and loss adjustment expenses, net of reinsurance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180" w:type="dxa"/>
            <w:vAlign w:val="bottom"/>
          </w:tcPr>
          <w:p>
            <w:pPr>
              <w:spacing w:after="0"/>
              <w:rPr>
                <w:sz w:val="16"/>
                <w:szCs w:val="16"/>
                <w:color w:val="auto"/>
              </w:rPr>
            </w:pPr>
          </w:p>
        </w:tc>
        <w:tc>
          <w:tcPr>
            <w:tcW w:w="6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5"/>
        </w:trPr>
        <w:tc>
          <w:tcPr>
            <w:tcW w:w="1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31,592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36,710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37,462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37,725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37,753</w:t>
            </w:r>
          </w:p>
        </w:tc>
      </w:tr>
      <w:tr>
        <w:trPr>
          <w:trHeight w:val="212"/>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89,381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152,030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164,491</w:t>
            </w:r>
          </w:p>
        </w:tc>
      </w:tr>
      <w:tr>
        <w:trPr>
          <w:trHeight w:val="218"/>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107,377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309,860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364,501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369,931</w:t>
            </w:r>
          </w:p>
        </w:tc>
      </w:tr>
      <w:tr>
        <w:trPr>
          <w:trHeight w:val="212"/>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45,136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257,346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368,865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379,246</w:t>
            </w:r>
          </w:p>
        </w:tc>
      </w:tr>
      <w:tr>
        <w:trPr>
          <w:trHeight w:val="218"/>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192,982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393,141</w:t>
            </w:r>
          </w:p>
        </w:tc>
      </w:tr>
      <w:tr>
        <w:trPr>
          <w:trHeight w:val="212"/>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17,705</w:t>
            </w:r>
          </w:p>
        </w:tc>
      </w:tr>
      <w:tr>
        <w:trPr>
          <w:trHeight w:val="218"/>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12,936</w:t>
            </w:r>
          </w:p>
        </w:tc>
      </w:tr>
      <w:tr>
        <w:trPr>
          <w:trHeight w:val="212"/>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8,691</w:t>
            </w:r>
          </w:p>
        </w:tc>
      </w:tr>
      <w:tr>
        <w:trPr>
          <w:trHeight w:val="218"/>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5,341</w:t>
            </w:r>
          </w:p>
        </w:tc>
      </w:tr>
      <w:tr>
        <w:trPr>
          <w:trHeight w:val="212"/>
        </w:trPr>
        <w:tc>
          <w:tcPr>
            <w:tcW w:w="1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36"/>
        </w:trPr>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1,389,554</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89"/>
        </w:trPr>
        <w:tc>
          <w:tcPr>
            <w:tcW w:w="7200" w:type="dxa"/>
            <w:vAlign w:val="bottom"/>
            <w:gridSpan w:val="20"/>
          </w:tcPr>
          <w:p>
            <w:pPr>
              <w:ind w:left="20"/>
              <w:spacing w:after="0"/>
              <w:rPr>
                <w:sz w:val="20"/>
                <w:szCs w:val="20"/>
                <w:color w:val="auto"/>
              </w:rPr>
            </w:pPr>
            <w:r>
              <w:rPr>
                <w:rFonts w:ascii="Times New Roman" w:cs="Times New Roman" w:eastAsia="Times New Roman" w:hAnsi="Times New Roman"/>
                <w:sz w:val="16"/>
                <w:szCs w:val="16"/>
                <w:color w:val="auto"/>
              </w:rPr>
              <w:t>Total outstanding losses and loss adjustment expenses, net of reinsurance before Commercial Auto LPT</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85,047</w:t>
            </w: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4"/>
        </w:trPr>
        <w:tc>
          <w:tcPr>
            <w:tcW w:w="3460" w:type="dxa"/>
            <w:vAlign w:val="bottom"/>
            <w:tcBorders>
              <w:bottom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Reinsurance recoverable for Commercial Auto LPT</w:t>
            </w: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35,315</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89"/>
        </w:trPr>
        <w:tc>
          <w:tcPr>
            <w:tcW w:w="32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Reinsurance recoverable for E&amp;S ADC</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12,653</w:t>
            </w: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4"/>
        </w:trPr>
        <w:tc>
          <w:tcPr>
            <w:tcW w:w="7200" w:type="dxa"/>
            <w:vAlign w:val="bottom"/>
            <w:tcBorders>
              <w:bottom w:val="single" w:sz="8" w:color="CCEEFF"/>
            </w:tcBorders>
            <w:gridSpan w:val="2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outstanding losses and loss adjustment expenses prior to 2015, net of reinsurance (0 claims outstanding)</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89"/>
        </w:trPr>
        <w:tc>
          <w:tcPr>
            <w:tcW w:w="522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auto"/>
              </w:rPr>
              <w:t>Total outstanding losses and loss adjustment expenses, net of reinsurance</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37,104</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1361440</wp:posOffset>
            </wp:positionH>
            <wp:positionV relativeFrom="paragraph">
              <wp:posOffset>-2124075</wp:posOffset>
            </wp:positionV>
            <wp:extent cx="59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Specialty Admitted — Individual Risk Workers’ Compensation</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Incurred losses and loss adjustment expenses, net of reinsurance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180" w:type="dxa"/>
            <w:vAlign w:val="bottom"/>
          </w:tcPr>
          <w:p>
            <w:pPr>
              <w:spacing w:after="0"/>
              <w:rPr>
                <w:sz w:val="16"/>
                <w:szCs w:val="16"/>
                <w:color w:val="auto"/>
              </w:rPr>
            </w:pP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1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2015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20,938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21,274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18,376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17,626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16,468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16,409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16,096</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16,093</w:t>
            </w:r>
          </w:p>
        </w:tc>
      </w:tr>
      <w:tr>
        <w:trPr>
          <w:trHeight w:val="218"/>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21,678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15,800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12,502</w:t>
            </w:r>
          </w:p>
        </w:tc>
      </w:tr>
      <w:tr>
        <w:trPr>
          <w:trHeight w:val="212"/>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19,779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15,318</w:t>
            </w:r>
          </w:p>
        </w:tc>
      </w:tr>
      <w:tr>
        <w:trPr>
          <w:trHeight w:val="218"/>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16,288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11,793</w:t>
            </w:r>
          </w:p>
        </w:tc>
      </w:tr>
      <w:tr>
        <w:trPr>
          <w:trHeight w:val="212"/>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20,253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17,408</w:t>
            </w:r>
          </w:p>
        </w:tc>
      </w:tr>
      <w:tr>
        <w:trPr>
          <w:trHeight w:val="218"/>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18,617</w:t>
            </w:r>
          </w:p>
        </w:tc>
      </w:tr>
      <w:tr>
        <w:trPr>
          <w:trHeight w:val="212"/>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12,702</w:t>
            </w:r>
          </w:p>
        </w:tc>
      </w:tr>
      <w:tr>
        <w:trPr>
          <w:trHeight w:val="218"/>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11,096</w:t>
            </w:r>
          </w:p>
        </w:tc>
      </w:tr>
      <w:tr>
        <w:trPr>
          <w:trHeight w:val="212"/>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19,218</w:t>
            </w:r>
          </w:p>
        </w:tc>
      </w:tr>
      <w:tr>
        <w:trPr>
          <w:trHeight w:val="215"/>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12,715</w:t>
            </w:r>
          </w:p>
        </w:tc>
      </w:tr>
      <w:tr>
        <w:trPr>
          <w:trHeight w:val="211"/>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147,462</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Cumulative paid losses and loss adjustment expenses, net of reinsurance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200" w:type="dxa"/>
            <w:vAlign w:val="bottom"/>
          </w:tcPr>
          <w:p>
            <w:pPr>
              <w:spacing w:after="0"/>
              <w:rPr>
                <w:sz w:val="16"/>
                <w:szCs w:val="16"/>
                <w:color w:val="auto"/>
              </w:rPr>
            </w:pPr>
          </w:p>
        </w:tc>
        <w:tc>
          <w:tcPr>
            <w:tcW w:w="68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1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2015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13,285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15,901</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16,071</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16,071</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16,071</w:t>
            </w:r>
          </w:p>
        </w:tc>
      </w:tr>
      <w:tr>
        <w:trPr>
          <w:trHeight w:val="218"/>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12,432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12,483</w:t>
            </w:r>
          </w:p>
        </w:tc>
      </w:tr>
      <w:tr>
        <w:trPr>
          <w:trHeight w:val="212"/>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15,286</w:t>
            </w:r>
          </w:p>
        </w:tc>
      </w:tr>
      <w:tr>
        <w:trPr>
          <w:trHeight w:val="218"/>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11,747</w:t>
            </w:r>
          </w:p>
        </w:tc>
      </w:tr>
      <w:tr>
        <w:trPr>
          <w:trHeight w:val="212"/>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17,179</w:t>
            </w:r>
          </w:p>
        </w:tc>
      </w:tr>
      <w:tr>
        <w:trPr>
          <w:trHeight w:val="218"/>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17,606</w:t>
            </w:r>
          </w:p>
        </w:tc>
      </w:tr>
      <w:tr>
        <w:trPr>
          <w:trHeight w:val="212"/>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11,865</w:t>
            </w:r>
          </w:p>
        </w:tc>
      </w:tr>
      <w:tr>
        <w:trPr>
          <w:trHeight w:val="218"/>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10,348</w:t>
            </w:r>
          </w:p>
        </w:tc>
      </w:tr>
      <w:tr>
        <w:trPr>
          <w:trHeight w:val="212"/>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12,764</w:t>
            </w:r>
          </w:p>
        </w:tc>
      </w:tr>
      <w:tr>
        <w:trPr>
          <w:trHeight w:val="215"/>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4,998</w:t>
            </w:r>
          </w:p>
        </w:tc>
      </w:tr>
      <w:tr>
        <w:trPr>
          <w:trHeight w:val="211"/>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130,347</w:t>
            </w:r>
          </w:p>
        </w:tc>
      </w:tr>
      <w:tr>
        <w:trPr>
          <w:trHeight w:val="20"/>
        </w:trPr>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4"/>
        </w:trPr>
        <w:tc>
          <w:tcPr>
            <w:tcW w:w="7240" w:type="dxa"/>
            <w:vAlign w:val="bottom"/>
            <w:tcBorders>
              <w:bottom w:val="single" w:sz="8" w:color="CCEEFF"/>
            </w:tcBorders>
            <w:gridSpan w:val="2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outstanding losses and loss adjustment expenses prior to 2015, net of reinsurance (2 claims outstanding)</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89"/>
        </w:trPr>
        <w:tc>
          <w:tcPr>
            <w:tcW w:w="7240" w:type="dxa"/>
            <w:vAlign w:val="bottom"/>
            <w:gridSpan w:val="20"/>
          </w:tcPr>
          <w:p>
            <w:pPr>
              <w:ind w:left="20"/>
              <w:spacing w:after="0"/>
              <w:rPr>
                <w:sz w:val="20"/>
                <w:szCs w:val="20"/>
                <w:color w:val="auto"/>
              </w:rPr>
            </w:pPr>
            <w:r>
              <w:rPr>
                <w:rFonts w:ascii="Times New Roman" w:cs="Times New Roman" w:eastAsia="Times New Roman" w:hAnsi="Times New Roman"/>
                <w:sz w:val="16"/>
                <w:szCs w:val="16"/>
                <w:color w:val="auto"/>
              </w:rPr>
              <w:t>Outstanding losses and loss adjustment expenses assumed from involuntary workers’ compensation pools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3,106</w:t>
            </w:r>
          </w:p>
        </w:tc>
      </w:tr>
      <w:tr>
        <w:trPr>
          <w:trHeight w:val="20"/>
        </w:trPr>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4"/>
        </w:trPr>
        <w:tc>
          <w:tcPr>
            <w:tcW w:w="5240" w:type="dxa"/>
            <w:vAlign w:val="bottom"/>
            <w:tcBorders>
              <w:bottom w:val="single" w:sz="8" w:color="CCEEFF"/>
            </w:tcBorders>
            <w:gridSpan w:val="1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outstanding losses and loss adjustment expenses, net of reinsurance</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20,372</w:t>
            </w: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Specialty Admitted — Fronting and Programs</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Incurred losses and loss adjustment expenses, net of reinsurance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200" w:type="dxa"/>
            <w:vAlign w:val="bottom"/>
          </w:tcPr>
          <w:p>
            <w:pPr>
              <w:spacing w:after="0"/>
              <w:rPr>
                <w:sz w:val="16"/>
                <w:szCs w:val="16"/>
                <w:color w:val="auto"/>
              </w:rPr>
            </w:pPr>
          </w:p>
        </w:tc>
        <w:tc>
          <w:tcPr>
            <w:tcW w:w="68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5"/>
        </w:trPr>
        <w:tc>
          <w:tcPr>
            <w:tcW w:w="1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7,136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8,974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8,436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8,176</w:t>
            </w:r>
          </w:p>
        </w:tc>
      </w:tr>
      <w:tr>
        <w:trPr>
          <w:trHeight w:val="212"/>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14,682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13,133</w:t>
            </w:r>
          </w:p>
        </w:tc>
      </w:tr>
      <w:tr>
        <w:trPr>
          <w:trHeight w:val="218"/>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24,271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23,576</w:t>
            </w:r>
          </w:p>
        </w:tc>
      </w:tr>
      <w:tr>
        <w:trPr>
          <w:trHeight w:val="212"/>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21,758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20,158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19,129</w:t>
            </w:r>
          </w:p>
        </w:tc>
      </w:tr>
      <w:tr>
        <w:trPr>
          <w:trHeight w:val="218"/>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19,991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18,210</w:t>
            </w:r>
          </w:p>
        </w:tc>
      </w:tr>
      <w:tr>
        <w:trPr>
          <w:trHeight w:val="212"/>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28,131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34,650</w:t>
            </w:r>
          </w:p>
        </w:tc>
      </w:tr>
      <w:tr>
        <w:trPr>
          <w:trHeight w:val="218"/>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39,999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46,526</w:t>
            </w:r>
          </w:p>
        </w:tc>
      </w:tr>
      <w:tr>
        <w:trPr>
          <w:trHeight w:val="212"/>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50,544</w:t>
            </w:r>
          </w:p>
        </w:tc>
      </w:tr>
      <w:tr>
        <w:trPr>
          <w:trHeight w:val="218"/>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58,449</w:t>
            </w:r>
          </w:p>
        </w:tc>
      </w:tr>
      <w:tr>
        <w:trPr>
          <w:trHeight w:val="212"/>
        </w:trPr>
        <w:tc>
          <w:tcPr>
            <w:tcW w:w="1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55,536</w:t>
            </w:r>
          </w:p>
        </w:tc>
      </w:tr>
      <w:tr>
        <w:trPr>
          <w:trHeight w:val="236"/>
        </w:trPr>
        <w:tc>
          <w:tcPr>
            <w:tcW w:w="1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327,929</w:t>
            </w: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Cumulative paid losses and loss adjustment expenses, net of reinsurance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200" w:type="dxa"/>
            <w:vAlign w:val="bottom"/>
          </w:tcPr>
          <w:p>
            <w:pPr>
              <w:spacing w:after="0"/>
              <w:rPr>
                <w:sz w:val="16"/>
                <w:szCs w:val="16"/>
                <w:color w:val="auto"/>
              </w:rPr>
            </w:pPr>
          </w:p>
        </w:tc>
        <w:tc>
          <w:tcPr>
            <w:tcW w:w="70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6"/>
                <w:szCs w:val="16"/>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Pr>
          <w:p>
            <w:pPr>
              <w:spacing w:after="0"/>
              <w:rPr>
                <w:sz w:val="16"/>
                <w:szCs w:val="16"/>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5"/>
        </w:trPr>
        <w:tc>
          <w:tcPr>
            <w:tcW w:w="1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2,058</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4,666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6,165</w:t>
            </w:r>
          </w:p>
        </w:tc>
        <w:tc>
          <w:tcPr>
            <w:tcW w:w="2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8,034</w:t>
            </w:r>
          </w:p>
        </w:tc>
      </w:tr>
      <w:tr>
        <w:trPr>
          <w:trHeight w:val="212"/>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5,123</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12,567</w:t>
            </w:r>
          </w:p>
        </w:tc>
      </w:tr>
      <w:tr>
        <w:trPr>
          <w:trHeight w:val="218"/>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1,223</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21,752</w:t>
            </w:r>
          </w:p>
        </w:tc>
      </w:tr>
      <w:tr>
        <w:trPr>
          <w:trHeight w:val="212"/>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16,457</w:t>
            </w:r>
          </w:p>
        </w:tc>
      </w:tr>
      <w:tr>
        <w:trPr>
          <w:trHeight w:val="218"/>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15,740</w:t>
            </w:r>
          </w:p>
        </w:tc>
      </w:tr>
      <w:tr>
        <w:trPr>
          <w:trHeight w:val="212"/>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29,084</w:t>
            </w:r>
          </w:p>
        </w:tc>
      </w:tr>
      <w:tr>
        <w:trPr>
          <w:trHeight w:val="218"/>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34,120</w:t>
            </w:r>
          </w:p>
        </w:tc>
      </w:tr>
      <w:tr>
        <w:trPr>
          <w:trHeight w:val="212"/>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30,131</w:t>
            </w:r>
          </w:p>
        </w:tc>
      </w:tr>
      <w:tr>
        <w:trPr>
          <w:trHeight w:val="218"/>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26,983</w:t>
            </w:r>
          </w:p>
        </w:tc>
      </w:tr>
      <w:tr>
        <w:trPr>
          <w:trHeight w:val="212"/>
        </w:trPr>
        <w:tc>
          <w:tcPr>
            <w:tcW w:w="1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14,745</w:t>
            </w:r>
          </w:p>
        </w:tc>
      </w:tr>
      <w:tr>
        <w:trPr>
          <w:trHeight w:val="208"/>
        </w:trPr>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209,613</w:t>
            </w:r>
          </w:p>
        </w:tc>
      </w:tr>
      <w:tr>
        <w:trPr>
          <w:trHeight w:val="211"/>
        </w:trPr>
        <w:tc>
          <w:tcPr>
            <w:tcW w:w="7300" w:type="dxa"/>
            <w:vAlign w:val="bottom"/>
            <w:gridSpan w:val="19"/>
          </w:tcPr>
          <w:p>
            <w:pPr>
              <w:ind w:left="20"/>
              <w:spacing w:after="0"/>
              <w:rPr>
                <w:sz w:val="20"/>
                <w:szCs w:val="20"/>
                <w:color w:val="auto"/>
              </w:rPr>
            </w:pPr>
            <w:r>
              <w:rPr>
                <w:rFonts w:ascii="Times New Roman" w:cs="Times New Roman" w:eastAsia="Times New Roman" w:hAnsi="Times New Roman"/>
                <w:sz w:val="16"/>
                <w:szCs w:val="16"/>
                <w:color w:val="auto"/>
              </w:rPr>
              <w:t>All outstanding losses and loss adjustment expenses prior to 2015, net of reinsurance (1 claim outstanding)</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4"/>
        </w:trPr>
        <w:tc>
          <w:tcPr>
            <w:tcW w:w="5340" w:type="dxa"/>
            <w:vAlign w:val="bottom"/>
            <w:tcBorders>
              <w:bottom w:val="single" w:sz="8" w:color="CCEEFF"/>
            </w:tcBorders>
            <w:gridSpan w:val="1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losses and loss adjustment expenses, assumed from involuntary pools</w:t>
            </w: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gridSpan w:val="5"/>
          </w:tcPr>
          <w:p>
            <w:pPr>
              <w:spacing w:after="0" w:line="20" w:lineRule="exact"/>
              <w:rPr>
                <w:sz w:val="1"/>
                <w:szCs w:val="1"/>
                <w:color w:val="auto"/>
              </w:rPr>
            </w:pPr>
          </w:p>
        </w:tc>
        <w:tc>
          <w:tcPr>
            <w:tcW w:w="1940" w:type="dxa"/>
            <w:vAlign w:val="bottom"/>
            <w:tcBorders>
              <w:top w:val="single" w:sz="8" w:color="CCEEFF"/>
            </w:tcBorders>
            <w:gridSpan w:val="5"/>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89"/>
        </w:trPr>
        <w:tc>
          <w:tcPr>
            <w:tcW w:w="5340" w:type="dxa"/>
            <w:vAlign w:val="bottom"/>
            <w:gridSpan w:val="13"/>
          </w:tcPr>
          <w:p>
            <w:pPr>
              <w:ind w:left="20"/>
              <w:spacing w:after="0"/>
              <w:rPr>
                <w:sz w:val="20"/>
                <w:szCs w:val="20"/>
                <w:color w:val="auto"/>
              </w:rPr>
            </w:pPr>
            <w:r>
              <w:rPr>
                <w:rFonts w:ascii="Times New Roman" w:cs="Times New Roman" w:eastAsia="Times New Roman" w:hAnsi="Times New Roman"/>
                <w:sz w:val="16"/>
                <w:szCs w:val="16"/>
                <w:color w:val="auto"/>
              </w:rPr>
              <w:t>Total outstanding losses and loss adjustment expenses, net of reinsurance</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119,441</w:t>
            </w: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1463675</wp:posOffset>
            </wp:positionH>
            <wp:positionV relativeFrom="paragraph">
              <wp:posOffset>-1757045</wp:posOffset>
            </wp:positionV>
            <wp:extent cx="679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1">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firstLine="363"/>
        <w:spacing w:after="0" w:line="280" w:lineRule="auto"/>
        <w:rPr>
          <w:sz w:val="20"/>
          <w:szCs w:val="20"/>
          <w:color w:val="auto"/>
        </w:rPr>
      </w:pPr>
      <w:r>
        <w:rPr>
          <w:rFonts w:ascii="Times New Roman" w:cs="Times New Roman" w:eastAsia="Times New Roman" w:hAnsi="Times New Roman"/>
          <w:sz w:val="18"/>
          <w:szCs w:val="18"/>
          <w:color w:val="auto"/>
        </w:rPr>
        <w:t>The reconciliation of the net incurred and paid claims development tables to the reserve for losses and loss adjustment expenses in the consolidated balance sheet at December 31, 2024 is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E&amp;S – excluding commercial auto</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909,361</w:t>
            </w:r>
          </w:p>
        </w:tc>
      </w:tr>
      <w:tr>
        <w:trPr>
          <w:trHeight w:val="228"/>
        </w:trPr>
        <w:tc>
          <w:tcPr>
            <w:tcW w:w="9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E&amp;S – commercial auto</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37,104</w:t>
            </w:r>
          </w:p>
        </w:tc>
      </w:tr>
      <w:tr>
        <w:trPr>
          <w:trHeight w:val="228"/>
        </w:trPr>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Specialty Admitted – individual risk workers’ compensation</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20,372</w:t>
            </w:r>
          </w:p>
        </w:tc>
      </w:tr>
      <w:tr>
        <w:trPr>
          <w:trHeight w:val="228"/>
        </w:trPr>
        <w:tc>
          <w:tcPr>
            <w:tcW w:w="9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Specialty Admitted – fronting and programs</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119,441</w:t>
            </w:r>
          </w:p>
        </w:tc>
      </w:tr>
      <w:tr>
        <w:trPr>
          <w:trHeight w:val="222"/>
        </w:trPr>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reserve for losses and loss adjustment expenses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1,086,278</w:t>
            </w:r>
          </w:p>
        </w:tc>
      </w:tr>
      <w:tr>
        <w:trPr>
          <w:trHeight w:val="228"/>
        </w:trPr>
        <w:tc>
          <w:tcPr>
            <w:tcW w:w="9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Reinsurance recoverables on unpaid losses (gross of $1.2 million allowance for credit losses on reinsurance recoverables)</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1,998,128</w:t>
            </w:r>
          </w:p>
        </w:tc>
      </w:tr>
      <w:tr>
        <w:trPr>
          <w:trHeight w:val="222"/>
        </w:trPr>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reserve for losses and loss adjustment expenses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3,084,406</w:t>
            </w:r>
          </w:p>
        </w:tc>
      </w:tr>
      <w:tr>
        <w:trPr>
          <w:trHeight w:val="20"/>
        </w:trPr>
        <w:tc>
          <w:tcPr>
            <w:tcW w:w="9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280" w:firstLine="363"/>
        <w:spacing w:after="0" w:line="280" w:lineRule="auto"/>
        <w:rPr>
          <w:sz w:val="20"/>
          <w:szCs w:val="20"/>
          <w:color w:val="auto"/>
        </w:rPr>
      </w:pPr>
      <w:r>
        <w:rPr>
          <w:rFonts w:ascii="Times New Roman" w:cs="Times New Roman" w:eastAsia="Times New Roman" w:hAnsi="Times New Roman"/>
          <w:sz w:val="18"/>
          <w:szCs w:val="18"/>
          <w:color w:val="auto"/>
        </w:rPr>
        <w:t>The following is unaudited supplementary information about average annual percentage payouts of incurred claims by age, net of reinsurance, as of December 31, 2024.</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4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 1</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 2</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 3</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 4</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 5</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 6</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 7</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 8</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 9</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10</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E&amp;S – excluding commercial auto</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E&amp;S – commercial auto</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16.3 %</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161"/>
        </w:trPr>
        <w:tc>
          <w:tcPr>
            <w:tcW w:w="25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Specialty Admitted – individual risk</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29.1 %</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12"/>
        </w:trPr>
        <w:tc>
          <w:tcPr>
            <w:tcW w:w="2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workers’ compensation</w:t>
            </w: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5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Specialty Admitted – fronting and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programs</w:t>
            </w: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380" w:firstLine="363"/>
        <w:spacing w:after="0" w:line="259" w:lineRule="auto"/>
        <w:rPr>
          <w:sz w:val="20"/>
          <w:szCs w:val="20"/>
          <w:color w:val="auto"/>
        </w:rPr>
      </w:pPr>
      <w:r>
        <w:rPr>
          <w:rFonts w:ascii="Times New Roman" w:cs="Times New Roman" w:eastAsia="Times New Roman" w:hAnsi="Times New Roman"/>
          <w:sz w:val="18"/>
          <w:szCs w:val="18"/>
          <w:color w:val="auto"/>
        </w:rPr>
        <w:t>In determining the cumulative number of reported claims, the Company measures claim counts by individual claimant for individual risk workers’ compensation policies in the Specialty Admitted Insurance segment. In the Excess and Surplus Lines segment and for fronting and programs in the Specialty Admitted Insurance segment, the Company measures claim counts by claim event. The claim counts include all claims reported, even if the Company does not establish a liability for the claim (i.e. reserve for losses and loss adjustment expenses).</w:t>
      </w:r>
    </w:p>
    <w:p>
      <w:pPr>
        <w:spacing w:after="0" w:line="74" w:lineRule="exact"/>
        <w:rPr>
          <w:sz w:val="20"/>
          <w:szCs w:val="20"/>
          <w:color w:val="auto"/>
        </w:rPr>
      </w:pPr>
    </w:p>
    <w:p>
      <w:pPr>
        <w:ind w:right="160" w:firstLine="363"/>
        <w:spacing w:after="0" w:line="264" w:lineRule="auto"/>
        <w:rPr>
          <w:sz w:val="20"/>
          <w:szCs w:val="20"/>
          <w:color w:val="auto"/>
        </w:rPr>
      </w:pPr>
      <w:r>
        <w:rPr>
          <w:rFonts w:ascii="Times New Roman" w:cs="Times New Roman" w:eastAsia="Times New Roman" w:hAnsi="Times New Roman"/>
          <w:sz w:val="18"/>
          <w:szCs w:val="18"/>
          <w:color w:val="auto"/>
        </w:rPr>
        <w:t>The table below provides information on IBNR liabilities and claims frequency for: (1) the Excess and Surplus Lines segment split between commercial auto and all non commercial auto, and (2) the Specialty Admitted Insurance segment split between individual risk workers’ compensation and fronting and programs: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and Surplus Lines — Excluding Commercial Auto</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Incurred Losses</w:t>
            </w:r>
          </w:p>
        </w:tc>
        <w:tc>
          <w:tcPr>
            <w:tcW w:w="220" w:type="dxa"/>
            <w:vAlign w:val="bottom"/>
          </w:tcPr>
          <w:p>
            <w:pPr>
              <w:spacing w:after="0"/>
              <w:rPr>
                <w:sz w:val="13"/>
                <w:szCs w:val="13"/>
                <w:color w:val="auto"/>
              </w:rPr>
            </w:pPr>
          </w:p>
        </w:tc>
        <w:tc>
          <w:tcPr>
            <w:tcW w:w="132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IBNR before E&amp;S</w:t>
            </w:r>
          </w:p>
        </w:tc>
        <w:tc>
          <w:tcPr>
            <w:tcW w:w="220" w:type="dxa"/>
            <w:vAlign w:val="bottom"/>
          </w:tcPr>
          <w:p>
            <w:pPr>
              <w:spacing w:after="0"/>
              <w:rPr>
                <w:sz w:val="13"/>
                <w:szCs w:val="13"/>
                <w:color w:val="auto"/>
              </w:rPr>
            </w:pPr>
          </w:p>
        </w:tc>
        <w:tc>
          <w:tcPr>
            <w:tcW w:w="14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IBNR net of E&amp;S</w:t>
            </w:r>
          </w:p>
        </w:tc>
        <w:tc>
          <w:tcPr>
            <w:tcW w:w="14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Cumulative # of</w:t>
            </w:r>
          </w:p>
        </w:tc>
        <w:tc>
          <w:tcPr>
            <w:tcW w:w="0" w:type="dxa"/>
            <w:vAlign w:val="bottom"/>
          </w:tcPr>
          <w:p>
            <w:pPr>
              <w:spacing w:after="0"/>
              <w:rPr>
                <w:sz w:val="1"/>
                <w:szCs w:val="1"/>
                <w:color w:val="auto"/>
              </w:rPr>
            </w:pPr>
          </w:p>
        </w:tc>
      </w:tr>
      <w:tr>
        <w:trPr>
          <w:trHeight w:val="148"/>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180" w:type="dxa"/>
            <w:vAlign w:val="bottom"/>
          </w:tcPr>
          <w:p>
            <w:pPr>
              <w:spacing w:after="0"/>
              <w:rPr>
                <w:sz w:val="12"/>
                <w:szCs w:val="12"/>
                <w:color w:val="auto"/>
              </w:rPr>
            </w:pPr>
          </w:p>
        </w:tc>
        <w:tc>
          <w:tcPr>
            <w:tcW w:w="1280" w:type="dxa"/>
            <w:vAlign w:val="bottom"/>
          </w:tcPr>
          <w:p>
            <w:pPr>
              <w:jc w:val="center"/>
              <w:ind w:right="115"/>
              <w:spacing w:after="0" w:line="148" w:lineRule="exact"/>
              <w:rPr>
                <w:sz w:val="20"/>
                <w:szCs w:val="20"/>
                <w:color w:val="auto"/>
              </w:rPr>
            </w:pPr>
            <w:r>
              <w:rPr>
                <w:rFonts w:ascii="Times New Roman" w:cs="Times New Roman" w:eastAsia="Times New Roman" w:hAnsi="Times New Roman"/>
                <w:sz w:val="14"/>
                <w:szCs w:val="14"/>
                <w:b w:val="1"/>
                <w:bCs w:val="1"/>
                <w:color w:val="auto"/>
              </w:rPr>
              <w:t>and Loss Adj</w:t>
            </w:r>
          </w:p>
        </w:tc>
        <w:tc>
          <w:tcPr>
            <w:tcW w:w="2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13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ADC</w:t>
            </w:r>
          </w:p>
        </w:tc>
        <w:tc>
          <w:tcPr>
            <w:tcW w:w="220" w:type="dxa"/>
            <w:vAlign w:val="bottom"/>
          </w:tcPr>
          <w:p>
            <w:pPr>
              <w:spacing w:after="0"/>
              <w:rPr>
                <w:sz w:val="16"/>
                <w:szCs w:val="16"/>
                <w:color w:val="auto"/>
              </w:rPr>
            </w:pPr>
          </w:p>
        </w:tc>
        <w:tc>
          <w:tcPr>
            <w:tcW w:w="140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ADC</w:t>
            </w: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Reported Claims</w:t>
            </w:r>
          </w:p>
        </w:tc>
        <w:tc>
          <w:tcPr>
            <w:tcW w:w="0" w:type="dxa"/>
            <w:vAlign w:val="bottom"/>
          </w:tcPr>
          <w:p>
            <w:pPr>
              <w:spacing w:after="0"/>
              <w:rPr>
                <w:sz w:val="1"/>
                <w:szCs w:val="1"/>
                <w:color w:val="auto"/>
              </w:rPr>
            </w:pPr>
          </w:p>
        </w:tc>
      </w:tr>
      <w:tr>
        <w:trPr>
          <w:trHeight w:val="189"/>
        </w:trPr>
        <w:tc>
          <w:tcPr>
            <w:tcW w:w="5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gridSpan w:val="3"/>
          </w:tcPr>
          <w:p>
            <w:pPr>
              <w:jc w:val="right"/>
              <w:ind w:right="1033"/>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122,048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4,065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1,765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2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148,400</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6,758</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2,841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0" w:type="dxa"/>
            <w:vAlign w:val="bottom"/>
          </w:tcPr>
          <w:p>
            <w:pPr>
              <w:spacing w:after="0"/>
              <w:rPr>
                <w:sz w:val="1"/>
                <w:szCs w:val="1"/>
                <w:color w:val="auto"/>
              </w:rPr>
            </w:pPr>
          </w:p>
        </w:tc>
      </w:tr>
      <w:tr>
        <w:trPr>
          <w:trHeight w:val="22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155,593</w:t>
            </w:r>
          </w:p>
        </w:tc>
        <w:tc>
          <w:tcPr>
            <w:tcW w:w="22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9,949</w:t>
            </w:r>
          </w:p>
        </w:tc>
        <w:tc>
          <w:tcPr>
            <w:tcW w:w="220" w:type="dxa"/>
            <w:vAlign w:val="bottom"/>
          </w:tcPr>
          <w:p>
            <w:pPr>
              <w:spacing w:after="0"/>
              <w:rPr>
                <w:sz w:val="19"/>
                <w:szCs w:val="19"/>
                <w:color w:val="auto"/>
              </w:rPr>
            </w:pP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4,336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0" w:type="dxa"/>
            <w:vAlign w:val="bottom"/>
          </w:tcPr>
          <w:p>
            <w:pPr>
              <w:spacing w:after="0"/>
              <w:rPr>
                <w:sz w:val="1"/>
                <w:szCs w:val="1"/>
                <w:color w:val="auto"/>
              </w:rPr>
            </w:pPr>
          </w:p>
        </w:tc>
      </w:tr>
      <w:tr>
        <w:trPr>
          <w:trHeight w:val="22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173,186</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12,942</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5,904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0" w:type="dxa"/>
            <w:vAlign w:val="bottom"/>
          </w:tcPr>
          <w:p>
            <w:pPr>
              <w:spacing w:after="0"/>
              <w:rPr>
                <w:sz w:val="1"/>
                <w:szCs w:val="1"/>
                <w:color w:val="auto"/>
              </w:rPr>
            </w:pPr>
          </w:p>
        </w:tc>
      </w:tr>
      <w:tr>
        <w:trPr>
          <w:trHeight w:val="22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228,076</w:t>
            </w:r>
          </w:p>
        </w:tc>
        <w:tc>
          <w:tcPr>
            <w:tcW w:w="22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29,201</w:t>
            </w:r>
          </w:p>
        </w:tc>
        <w:tc>
          <w:tcPr>
            <w:tcW w:w="220" w:type="dxa"/>
            <w:vAlign w:val="bottom"/>
          </w:tcPr>
          <w:p>
            <w:pPr>
              <w:spacing w:after="0"/>
              <w:rPr>
                <w:sz w:val="19"/>
                <w:szCs w:val="19"/>
                <w:color w:val="auto"/>
              </w:rPr>
            </w:pP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12,652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0" w:type="dxa"/>
            <w:vAlign w:val="bottom"/>
          </w:tcPr>
          <w:p>
            <w:pPr>
              <w:spacing w:after="0"/>
              <w:rPr>
                <w:sz w:val="1"/>
                <w:szCs w:val="1"/>
                <w:color w:val="auto"/>
              </w:rPr>
            </w:pPr>
          </w:p>
        </w:tc>
      </w:tr>
      <w:tr>
        <w:trPr>
          <w:trHeight w:val="22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273,883</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59,368</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28,306</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0" w:type="dxa"/>
            <w:vAlign w:val="bottom"/>
          </w:tcPr>
          <w:p>
            <w:pPr>
              <w:spacing w:after="0"/>
              <w:rPr>
                <w:sz w:val="1"/>
                <w:szCs w:val="1"/>
                <w:color w:val="auto"/>
              </w:rPr>
            </w:pPr>
          </w:p>
        </w:tc>
      </w:tr>
      <w:tr>
        <w:trPr>
          <w:trHeight w:val="22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307,338</w:t>
            </w:r>
          </w:p>
        </w:tc>
        <w:tc>
          <w:tcPr>
            <w:tcW w:w="22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104,355</w:t>
            </w:r>
          </w:p>
        </w:tc>
        <w:tc>
          <w:tcPr>
            <w:tcW w:w="220" w:type="dxa"/>
            <w:vAlign w:val="bottom"/>
          </w:tcPr>
          <w:p>
            <w:pPr>
              <w:spacing w:after="0"/>
              <w:rPr>
                <w:sz w:val="19"/>
                <w:szCs w:val="19"/>
                <w:color w:val="auto"/>
              </w:rPr>
            </w:pP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45,322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0" w:type="dxa"/>
            <w:vAlign w:val="bottom"/>
          </w:tcPr>
          <w:p>
            <w:pPr>
              <w:spacing w:after="0"/>
              <w:rPr>
                <w:sz w:val="1"/>
                <w:szCs w:val="1"/>
                <w:color w:val="auto"/>
              </w:rPr>
            </w:pPr>
          </w:p>
        </w:tc>
      </w:tr>
      <w:tr>
        <w:trPr>
          <w:trHeight w:val="22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320,146</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145,381</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61,332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0" w:type="dxa"/>
            <w:vAlign w:val="bottom"/>
          </w:tcPr>
          <w:p>
            <w:pPr>
              <w:spacing w:after="0"/>
              <w:rPr>
                <w:sz w:val="1"/>
                <w:szCs w:val="1"/>
                <w:color w:val="auto"/>
              </w:rPr>
            </w:pPr>
          </w:p>
        </w:tc>
      </w:tr>
      <w:tr>
        <w:trPr>
          <w:trHeight w:val="22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330,330</w:t>
            </w:r>
          </w:p>
        </w:tc>
        <w:tc>
          <w:tcPr>
            <w:tcW w:w="22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232,184</w:t>
            </w:r>
          </w:p>
        </w:tc>
        <w:tc>
          <w:tcPr>
            <w:tcW w:w="220" w:type="dxa"/>
            <w:vAlign w:val="bottom"/>
          </w:tcPr>
          <w:p>
            <w:pPr>
              <w:spacing w:after="0"/>
              <w:rPr>
                <w:sz w:val="19"/>
                <w:szCs w:val="19"/>
                <w:color w:val="auto"/>
              </w:rPr>
            </w:pP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97,166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0" w:type="dxa"/>
            <w:vAlign w:val="bottom"/>
          </w:tcPr>
          <w:p>
            <w:pPr>
              <w:spacing w:after="0"/>
              <w:rPr>
                <w:sz w:val="1"/>
                <w:szCs w:val="1"/>
                <w:color w:val="auto"/>
              </w:rPr>
            </w:pPr>
          </w:p>
        </w:tc>
      </w:tr>
      <w:tr>
        <w:trPr>
          <w:trHeight w:val="22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360,426</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330,304</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330,304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and Surplus Lines — Commercial Auto</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Incurred Losses</w:t>
            </w:r>
          </w:p>
        </w:tc>
        <w:tc>
          <w:tcPr>
            <w:tcW w:w="140" w:type="dxa"/>
            <w:vAlign w:val="bottom"/>
          </w:tcPr>
          <w:p>
            <w:pPr>
              <w:spacing w:after="0"/>
              <w:rPr>
                <w:sz w:val="13"/>
                <w:szCs w:val="13"/>
                <w:color w:val="auto"/>
              </w:rPr>
            </w:pPr>
          </w:p>
        </w:tc>
        <w:tc>
          <w:tcPr>
            <w:tcW w:w="13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IBNR before</w:t>
            </w:r>
          </w:p>
        </w:tc>
        <w:tc>
          <w:tcPr>
            <w:tcW w:w="220" w:type="dxa"/>
            <w:vAlign w:val="bottom"/>
          </w:tcPr>
          <w:p>
            <w:pPr>
              <w:spacing w:after="0"/>
              <w:rPr>
                <w:sz w:val="13"/>
                <w:szCs w:val="13"/>
                <w:color w:val="auto"/>
              </w:rPr>
            </w:pPr>
          </w:p>
        </w:tc>
        <w:tc>
          <w:tcPr>
            <w:tcW w:w="142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IBNR net of</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Cumulative # of</w:t>
            </w:r>
          </w:p>
        </w:tc>
        <w:tc>
          <w:tcPr>
            <w:tcW w:w="0" w:type="dxa"/>
            <w:vAlign w:val="bottom"/>
          </w:tcPr>
          <w:p>
            <w:pPr>
              <w:spacing w:after="0"/>
              <w:rPr>
                <w:sz w:val="1"/>
                <w:szCs w:val="1"/>
                <w:color w:val="auto"/>
              </w:rPr>
            </w:pPr>
          </w:p>
        </w:tc>
      </w:tr>
      <w:tr>
        <w:trPr>
          <w:trHeight w:val="146"/>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and Loss Adj</w:t>
            </w:r>
          </w:p>
        </w:tc>
        <w:tc>
          <w:tcPr>
            <w:tcW w:w="140" w:type="dxa"/>
            <w:vAlign w:val="bottom"/>
          </w:tcPr>
          <w:p>
            <w:pPr>
              <w:spacing w:after="0"/>
              <w:rPr>
                <w:sz w:val="12"/>
                <w:szCs w:val="12"/>
                <w:color w:val="auto"/>
              </w:rPr>
            </w:pPr>
          </w:p>
        </w:tc>
        <w:tc>
          <w:tcPr>
            <w:tcW w:w="132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Commercial Auto</w:t>
            </w:r>
          </w:p>
        </w:tc>
        <w:tc>
          <w:tcPr>
            <w:tcW w:w="220" w:type="dxa"/>
            <w:vAlign w:val="bottom"/>
          </w:tcPr>
          <w:p>
            <w:pPr>
              <w:spacing w:after="0"/>
              <w:rPr>
                <w:sz w:val="12"/>
                <w:szCs w:val="12"/>
                <w:color w:val="auto"/>
              </w:rPr>
            </w:pPr>
          </w:p>
        </w:tc>
        <w:tc>
          <w:tcPr>
            <w:tcW w:w="1420" w:type="dxa"/>
            <w:vAlign w:val="bottom"/>
          </w:tcPr>
          <w:p>
            <w:pPr>
              <w:jc w:val="center"/>
              <w:ind w:right="174"/>
              <w:spacing w:after="0" w:line="146" w:lineRule="exact"/>
              <w:rPr>
                <w:sz w:val="20"/>
                <w:szCs w:val="20"/>
                <w:color w:val="auto"/>
              </w:rPr>
            </w:pPr>
            <w:r>
              <w:rPr>
                <w:rFonts w:ascii="Times New Roman" w:cs="Times New Roman" w:eastAsia="Times New Roman" w:hAnsi="Times New Roman"/>
                <w:sz w:val="14"/>
                <w:szCs w:val="14"/>
                <w:b w:val="1"/>
                <w:bCs w:val="1"/>
                <w:color w:val="auto"/>
              </w:rPr>
              <w:t>Commercial Auto</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tcPr>
          <w:p>
            <w:pPr>
              <w:spacing w:after="0"/>
              <w:rPr>
                <w:sz w:val="17"/>
                <w:szCs w:val="17"/>
                <w:color w:val="auto"/>
              </w:rPr>
            </w:pPr>
          </w:p>
        </w:tc>
        <w:tc>
          <w:tcPr>
            <w:tcW w:w="13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LPT&amp; E&amp;S ADC</w:t>
            </w:r>
          </w:p>
        </w:tc>
        <w:tc>
          <w:tcPr>
            <w:tcW w:w="220" w:type="dxa"/>
            <w:vAlign w:val="bottom"/>
          </w:tcPr>
          <w:p>
            <w:pPr>
              <w:spacing w:after="0"/>
              <w:rPr>
                <w:sz w:val="17"/>
                <w:szCs w:val="17"/>
                <w:color w:val="auto"/>
              </w:rPr>
            </w:pPr>
          </w:p>
        </w:tc>
        <w:tc>
          <w:tcPr>
            <w:tcW w:w="142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LPT &amp; E&amp;S ADC</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 Claims</w:t>
            </w:r>
          </w:p>
        </w:tc>
        <w:tc>
          <w:tcPr>
            <w:tcW w:w="0" w:type="dxa"/>
            <w:vAlign w:val="bottom"/>
          </w:tcPr>
          <w:p>
            <w:pPr>
              <w:spacing w:after="0"/>
              <w:rPr>
                <w:sz w:val="1"/>
                <w:szCs w:val="1"/>
                <w:color w:val="auto"/>
              </w:rPr>
            </w:pPr>
          </w:p>
        </w:tc>
      </w:tr>
      <w:tr>
        <w:trPr>
          <w:trHeight w:val="189"/>
        </w:trPr>
        <w:tc>
          <w:tcPr>
            <w:tcW w:w="5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3"/>
          </w:tcPr>
          <w:p>
            <w:pPr>
              <w:jc w:val="right"/>
              <w:ind w:right="1034"/>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41,771</w:t>
            </w: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89,117</w:t>
            </w:r>
          </w:p>
        </w:tc>
        <w:tc>
          <w:tcPr>
            <w:tcW w:w="0" w:type="dxa"/>
            <w:vAlign w:val="bottom"/>
          </w:tcPr>
          <w:p>
            <w:pPr>
              <w:spacing w:after="0"/>
              <w:rPr>
                <w:sz w:val="1"/>
                <w:szCs w:val="1"/>
                <w:color w:val="auto"/>
              </w:rPr>
            </w:pPr>
          </w:p>
        </w:tc>
      </w:tr>
      <w:tr>
        <w:trPr>
          <w:trHeight w:val="22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2,477</w:t>
            </w:r>
          </w:p>
        </w:tc>
        <w:tc>
          <w:tcPr>
            <w:tcW w:w="220" w:type="dxa"/>
            <w:vAlign w:val="bottom"/>
          </w:tcPr>
          <w:p>
            <w:pPr>
              <w:spacing w:after="0"/>
              <w:rPr>
                <w:sz w:val="19"/>
                <w:szCs w:val="19"/>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84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134,150</w:t>
            </w: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4,126</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97,342</w:t>
            </w:r>
          </w:p>
        </w:tc>
        <w:tc>
          <w:tcPr>
            <w:tcW w:w="0" w:type="dxa"/>
            <w:vAlign w:val="bottom"/>
          </w:tcPr>
          <w:p>
            <w:pPr>
              <w:spacing w:after="0"/>
              <w:rPr>
                <w:sz w:val="1"/>
                <w:szCs w:val="1"/>
                <w:color w:val="auto"/>
              </w:rPr>
            </w:pPr>
          </w:p>
        </w:tc>
      </w:tr>
      <w:tr>
        <w:trPr>
          <w:trHeight w:val="22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10,790</w:t>
            </w:r>
          </w:p>
        </w:tc>
        <w:tc>
          <w:tcPr>
            <w:tcW w:w="220" w:type="dxa"/>
            <w:vAlign w:val="bottom"/>
          </w:tcPr>
          <w:p>
            <w:pPr>
              <w:spacing w:after="0"/>
              <w:rPr>
                <w:sz w:val="19"/>
                <w:szCs w:val="19"/>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71,494</w:t>
            </w: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1,873</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827</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2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3,974</w:t>
            </w:r>
          </w:p>
        </w:tc>
        <w:tc>
          <w:tcPr>
            <w:tcW w:w="220" w:type="dxa"/>
            <w:vAlign w:val="bottom"/>
          </w:tcPr>
          <w:p>
            <w:pPr>
              <w:spacing w:after="0"/>
              <w:rPr>
                <w:sz w:val="19"/>
                <w:szCs w:val="19"/>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1,666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6,699</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2,587</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2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7,714</w:t>
            </w:r>
          </w:p>
        </w:tc>
        <w:tc>
          <w:tcPr>
            <w:tcW w:w="220" w:type="dxa"/>
            <w:vAlign w:val="bottom"/>
          </w:tcPr>
          <w:p>
            <w:pPr>
              <w:spacing w:after="0"/>
              <w:rPr>
                <w:sz w:val="19"/>
                <w:szCs w:val="19"/>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3,154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10,735</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10,735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417"/>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Specialty Admitted - Individual Risk Workers’ Compensation</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Incurred Losses</w:t>
            </w: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Cumulative # of</w:t>
            </w:r>
          </w:p>
        </w:tc>
        <w:tc>
          <w:tcPr>
            <w:tcW w:w="0" w:type="dxa"/>
            <w:vAlign w:val="bottom"/>
          </w:tcPr>
          <w:p>
            <w:pPr>
              <w:spacing w:after="0"/>
              <w:rPr>
                <w:sz w:val="1"/>
                <w:szCs w:val="1"/>
                <w:color w:val="auto"/>
              </w:rPr>
            </w:pPr>
          </w:p>
        </w:tc>
      </w:tr>
      <w:tr>
        <w:trPr>
          <w:trHeight w:val="148"/>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95"/>
              <w:spacing w:after="0" w:line="148" w:lineRule="exact"/>
              <w:rPr>
                <w:sz w:val="20"/>
                <w:szCs w:val="20"/>
                <w:color w:val="auto"/>
              </w:rPr>
            </w:pPr>
            <w:r>
              <w:rPr>
                <w:rFonts w:ascii="Times New Roman" w:cs="Times New Roman" w:eastAsia="Times New Roman" w:hAnsi="Times New Roman"/>
                <w:sz w:val="14"/>
                <w:szCs w:val="14"/>
                <w:b w:val="1"/>
                <w:bCs w:val="1"/>
                <w:color w:val="auto"/>
              </w:rPr>
              <w:t>and Loss Adj</w:t>
            </w:r>
          </w:p>
        </w:tc>
        <w:tc>
          <w:tcPr>
            <w:tcW w:w="220" w:type="dxa"/>
            <w:vAlign w:val="bottom"/>
          </w:tcPr>
          <w:p>
            <w:pPr>
              <w:spacing w:after="0"/>
              <w:rPr>
                <w:sz w:val="12"/>
                <w:szCs w:val="12"/>
                <w:color w:val="auto"/>
              </w:rPr>
            </w:pPr>
          </w:p>
        </w:tc>
        <w:tc>
          <w:tcPr>
            <w:tcW w:w="1420" w:type="dxa"/>
            <w:vAlign w:val="bottom"/>
            <w:vMerge w:val="restart"/>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IBNR</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2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 Claims</w:t>
            </w: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16,071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12,483</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19</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2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15,306</w:t>
            </w:r>
          </w:p>
        </w:tc>
        <w:tc>
          <w:tcPr>
            <w:tcW w:w="220" w:type="dxa"/>
            <w:vAlign w:val="bottom"/>
          </w:tcPr>
          <w:p>
            <w:pPr>
              <w:spacing w:after="0"/>
              <w:rPr>
                <w:sz w:val="19"/>
                <w:szCs w:val="19"/>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11,773</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2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17,227</w:t>
            </w:r>
          </w:p>
        </w:tc>
        <w:tc>
          <w:tcPr>
            <w:tcW w:w="220" w:type="dxa"/>
            <w:vAlign w:val="bottom"/>
          </w:tcPr>
          <w:p>
            <w:pPr>
              <w:spacing w:after="0"/>
              <w:rPr>
                <w:sz w:val="19"/>
                <w:szCs w:val="19"/>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180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18,277</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340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2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12,409</w:t>
            </w:r>
          </w:p>
        </w:tc>
        <w:tc>
          <w:tcPr>
            <w:tcW w:w="220" w:type="dxa"/>
            <w:vAlign w:val="bottom"/>
          </w:tcPr>
          <w:p>
            <w:pPr>
              <w:spacing w:after="0"/>
              <w:rPr>
                <w:sz w:val="19"/>
                <w:szCs w:val="19"/>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293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10,814</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281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2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18,772</w:t>
            </w:r>
          </w:p>
        </w:tc>
        <w:tc>
          <w:tcPr>
            <w:tcW w:w="220" w:type="dxa"/>
            <w:vAlign w:val="bottom"/>
          </w:tcPr>
          <w:p>
            <w:pPr>
              <w:spacing w:after="0"/>
              <w:rPr>
                <w:sz w:val="19"/>
                <w:szCs w:val="19"/>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446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9,877</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2,838</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Specialty Admitted — Fronting and Programs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Incurred Losses</w:t>
            </w: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Cumulative # of</w:t>
            </w:r>
          </w:p>
        </w:tc>
        <w:tc>
          <w:tcPr>
            <w:tcW w:w="0" w:type="dxa"/>
            <w:vAlign w:val="bottom"/>
          </w:tcPr>
          <w:p>
            <w:pPr>
              <w:spacing w:after="0"/>
              <w:rPr>
                <w:sz w:val="1"/>
                <w:szCs w:val="1"/>
                <w:color w:val="auto"/>
              </w:rPr>
            </w:pPr>
          </w:p>
        </w:tc>
      </w:tr>
      <w:tr>
        <w:trPr>
          <w:trHeight w:val="146"/>
        </w:trPr>
        <w:tc>
          <w:tcPr>
            <w:tcW w:w="6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160" w:type="dxa"/>
            <w:vAlign w:val="bottom"/>
          </w:tcPr>
          <w:p>
            <w:pPr>
              <w:spacing w:after="0"/>
              <w:rPr>
                <w:sz w:val="12"/>
                <w:szCs w:val="12"/>
                <w:color w:val="auto"/>
              </w:rPr>
            </w:pPr>
          </w:p>
        </w:tc>
        <w:tc>
          <w:tcPr>
            <w:tcW w:w="1300" w:type="dxa"/>
            <w:vAlign w:val="bottom"/>
          </w:tcPr>
          <w:p>
            <w:pPr>
              <w:jc w:val="center"/>
              <w:ind w:right="115"/>
              <w:spacing w:after="0" w:line="146" w:lineRule="exact"/>
              <w:rPr>
                <w:sz w:val="20"/>
                <w:szCs w:val="20"/>
                <w:color w:val="auto"/>
              </w:rPr>
            </w:pPr>
            <w:r>
              <w:rPr>
                <w:rFonts w:ascii="Times New Roman" w:cs="Times New Roman" w:eastAsia="Times New Roman" w:hAnsi="Times New Roman"/>
                <w:sz w:val="14"/>
                <w:szCs w:val="14"/>
                <w:b w:val="1"/>
                <w:bCs w:val="1"/>
                <w:color w:val="auto"/>
              </w:rPr>
              <w:t>and Loss Adj</w:t>
            </w:r>
          </w:p>
        </w:tc>
        <w:tc>
          <w:tcPr>
            <w:tcW w:w="260" w:type="dxa"/>
            <w:vAlign w:val="bottom"/>
          </w:tcPr>
          <w:p>
            <w:pPr>
              <w:spacing w:after="0"/>
              <w:rPr>
                <w:sz w:val="12"/>
                <w:szCs w:val="12"/>
                <w:color w:val="auto"/>
              </w:rPr>
            </w:pPr>
          </w:p>
        </w:tc>
        <w:tc>
          <w:tcPr>
            <w:tcW w:w="1380" w:type="dxa"/>
            <w:vAlign w:val="bottom"/>
            <w:vMerge w:val="restart"/>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IBNR</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Reported Claims</w:t>
            </w:r>
          </w:p>
        </w:tc>
        <w:tc>
          <w:tcPr>
            <w:tcW w:w="0" w:type="dxa"/>
            <w:vAlign w:val="bottom"/>
          </w:tcPr>
          <w:p>
            <w:pPr>
              <w:spacing w:after="0"/>
              <w:rPr>
                <w:sz w:val="1"/>
                <w:szCs w:val="1"/>
                <w:color w:val="auto"/>
              </w:rPr>
            </w:pPr>
          </w:p>
        </w:tc>
      </w:tr>
      <w:tr>
        <w:trPr>
          <w:trHeight w:val="189"/>
        </w:trPr>
        <w:tc>
          <w:tcPr>
            <w:tcW w:w="66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8,146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2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13,009</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0" w:type="dxa"/>
            <w:vAlign w:val="bottom"/>
          </w:tcPr>
          <w:p>
            <w:pPr>
              <w:spacing w:after="0"/>
              <w:rPr>
                <w:sz w:val="1"/>
                <w:szCs w:val="1"/>
                <w:color w:val="auto"/>
              </w:rPr>
            </w:pPr>
          </w:p>
        </w:tc>
      </w:tr>
      <w:tr>
        <w:trPr>
          <w:trHeight w:val="22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22,734</w:t>
            </w:r>
          </w:p>
        </w:tc>
        <w:tc>
          <w:tcPr>
            <w:tcW w:w="260" w:type="dxa"/>
            <w:vAlign w:val="bottom"/>
          </w:tcPr>
          <w:p>
            <w:pPr>
              <w:spacing w:after="0"/>
              <w:rPr>
                <w:sz w:val="19"/>
                <w:szCs w:val="19"/>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842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0" w:type="dxa"/>
            <w:vAlign w:val="bottom"/>
          </w:tcPr>
          <w:p>
            <w:pPr>
              <w:spacing w:after="0"/>
              <w:rPr>
                <w:sz w:val="1"/>
                <w:szCs w:val="1"/>
                <w:color w:val="auto"/>
              </w:rPr>
            </w:pPr>
          </w:p>
        </w:tc>
      </w:tr>
      <w:tr>
        <w:trPr>
          <w:trHeight w:val="22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18,230</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899</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0" w:type="dxa"/>
            <w:vAlign w:val="bottom"/>
          </w:tcPr>
          <w:p>
            <w:pPr>
              <w:spacing w:after="0"/>
              <w:rPr>
                <w:sz w:val="1"/>
                <w:szCs w:val="1"/>
                <w:color w:val="auto"/>
              </w:rPr>
            </w:pPr>
          </w:p>
        </w:tc>
      </w:tr>
      <w:tr>
        <w:trPr>
          <w:trHeight w:val="22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17,235</w:t>
            </w:r>
          </w:p>
        </w:tc>
        <w:tc>
          <w:tcPr>
            <w:tcW w:w="260" w:type="dxa"/>
            <w:vAlign w:val="bottom"/>
          </w:tcPr>
          <w:p>
            <w:pPr>
              <w:spacing w:after="0"/>
              <w:rPr>
                <w:sz w:val="19"/>
                <w:szCs w:val="19"/>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976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0" w:type="dxa"/>
            <w:vAlign w:val="bottom"/>
          </w:tcPr>
          <w:p>
            <w:pPr>
              <w:spacing w:after="0"/>
              <w:rPr>
                <w:sz w:val="1"/>
                <w:szCs w:val="1"/>
                <w:color w:val="auto"/>
              </w:rPr>
            </w:pPr>
          </w:p>
        </w:tc>
      </w:tr>
      <w:tr>
        <w:trPr>
          <w:trHeight w:val="22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32,526</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2,125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0" w:type="dxa"/>
            <w:vAlign w:val="bottom"/>
          </w:tcPr>
          <w:p>
            <w:pPr>
              <w:spacing w:after="0"/>
              <w:rPr>
                <w:sz w:val="1"/>
                <w:szCs w:val="1"/>
                <w:color w:val="auto"/>
              </w:rPr>
            </w:pPr>
          </w:p>
        </w:tc>
      </w:tr>
      <w:tr>
        <w:trPr>
          <w:trHeight w:val="22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39,679</w:t>
            </w:r>
          </w:p>
        </w:tc>
        <w:tc>
          <w:tcPr>
            <w:tcW w:w="260" w:type="dxa"/>
            <w:vAlign w:val="bottom"/>
          </w:tcPr>
          <w:p>
            <w:pPr>
              <w:spacing w:after="0"/>
              <w:rPr>
                <w:sz w:val="19"/>
                <w:szCs w:val="19"/>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6,846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10,848</w:t>
            </w:r>
          </w:p>
        </w:tc>
        <w:tc>
          <w:tcPr>
            <w:tcW w:w="0" w:type="dxa"/>
            <w:vAlign w:val="bottom"/>
          </w:tcPr>
          <w:p>
            <w:pPr>
              <w:spacing w:after="0"/>
              <w:rPr>
                <w:sz w:val="1"/>
                <w:szCs w:val="1"/>
                <w:color w:val="auto"/>
              </w:rPr>
            </w:pPr>
          </w:p>
        </w:tc>
      </w:tr>
      <w:tr>
        <w:trPr>
          <w:trHeight w:val="22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39,210</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11,335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w:t>
            </w:r>
          </w:p>
        </w:tc>
        <w:tc>
          <w:tcPr>
            <w:tcW w:w="0" w:type="dxa"/>
            <w:vAlign w:val="bottom"/>
          </w:tcPr>
          <w:p>
            <w:pPr>
              <w:spacing w:after="0"/>
              <w:rPr>
                <w:sz w:val="1"/>
                <w:szCs w:val="1"/>
                <w:color w:val="auto"/>
              </w:rPr>
            </w:pPr>
          </w:p>
        </w:tc>
      </w:tr>
      <w:tr>
        <w:trPr>
          <w:trHeight w:val="22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42,655</w:t>
            </w:r>
          </w:p>
        </w:tc>
        <w:tc>
          <w:tcPr>
            <w:tcW w:w="260" w:type="dxa"/>
            <w:vAlign w:val="bottom"/>
          </w:tcPr>
          <w:p>
            <w:pPr>
              <w:spacing w:after="0"/>
              <w:rPr>
                <w:sz w:val="19"/>
                <w:szCs w:val="19"/>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15,794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0" w:type="dxa"/>
            <w:vAlign w:val="bottom"/>
          </w:tcPr>
          <w:p>
            <w:pPr>
              <w:spacing w:after="0"/>
              <w:rPr>
                <w:sz w:val="1"/>
                <w:szCs w:val="1"/>
                <w:color w:val="auto"/>
              </w:rPr>
            </w:pPr>
          </w:p>
        </w:tc>
      </w:tr>
      <w:tr>
        <w:trPr>
          <w:trHeight w:val="22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23,396</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32,140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right="20" w:firstLine="363"/>
        <w:spacing w:after="0" w:line="264" w:lineRule="auto"/>
        <w:rPr>
          <w:sz w:val="20"/>
          <w:szCs w:val="20"/>
          <w:color w:val="auto"/>
        </w:rPr>
      </w:pPr>
      <w:r>
        <w:rPr>
          <w:rFonts w:ascii="Times New Roman" w:cs="Times New Roman" w:eastAsia="Times New Roman" w:hAnsi="Times New Roman"/>
          <w:sz w:val="18"/>
          <w:szCs w:val="18"/>
          <w:color w:val="auto"/>
        </w:rPr>
        <w:t>The Company has not provided insurance coverage that could reasonably be expected to produce material levels of asbestos claims activity. In addition, management does not believe that the Company is exposed to environmental liability claims other than those which it has specifically underwritten and priced as an environmental exposure.</w:t>
      </w:r>
    </w:p>
    <w:p>
      <w:pPr>
        <w:spacing w:after="0" w:line="6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Reinsurance</w:t>
      </w:r>
    </w:p>
    <w:p>
      <w:pPr>
        <w:spacing w:after="0" w:line="119" w:lineRule="exact"/>
        <w:rPr>
          <w:sz w:val="20"/>
          <w:szCs w:val="20"/>
          <w:color w:val="auto"/>
        </w:rPr>
      </w:pPr>
    </w:p>
    <w:p>
      <w:pPr>
        <w:ind w:right="40" w:firstLine="363"/>
        <w:spacing w:after="0" w:line="253" w:lineRule="auto"/>
        <w:rPr>
          <w:sz w:val="20"/>
          <w:szCs w:val="20"/>
          <w:color w:val="auto"/>
        </w:rPr>
      </w:pPr>
      <w:r>
        <w:rPr>
          <w:rFonts w:ascii="Times New Roman" w:cs="Times New Roman" w:eastAsia="Times New Roman" w:hAnsi="Times New Roman"/>
          <w:sz w:val="18"/>
          <w:szCs w:val="18"/>
          <w:color w:val="auto"/>
        </w:rPr>
        <w:t>The Company remains liable to policyholders if its reinsurers are unable to meet their contractual obligations under applicable reinsurance agreements. To minimize exposure to significant losses from reinsurance insolvencies, the Company evaluates the financial condition of its reinsurers and monitors concentrations of credit risk.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the Company is subject to credit risk with regard to insurance companies who act as reinsurers for the Company in such arrangements. The Company customarily requires a collateral trust arrangement to secure the obligations of the insurance entity for whom it is fronting.</w:t>
      </w:r>
    </w:p>
    <w:p>
      <w:pPr>
        <w:spacing w:after="0" w:line="82" w:lineRule="exact"/>
        <w:rPr>
          <w:sz w:val="20"/>
          <w:szCs w:val="20"/>
          <w:color w:val="auto"/>
        </w:rPr>
      </w:pPr>
    </w:p>
    <w:p>
      <w:pPr>
        <w:ind w:right="40" w:firstLine="363"/>
        <w:spacing w:after="0" w:line="259" w:lineRule="auto"/>
        <w:rPr>
          <w:sz w:val="20"/>
          <w:szCs w:val="20"/>
          <w:color w:val="auto"/>
        </w:rPr>
      </w:pPr>
      <w:r>
        <w:rPr>
          <w:rFonts w:ascii="Times New Roman" w:cs="Times New Roman" w:eastAsia="Times New Roman" w:hAnsi="Times New Roman"/>
          <w:sz w:val="18"/>
          <w:szCs w:val="18"/>
          <w:color w:val="auto"/>
        </w:rPr>
        <w:t>At December 31, 2024, the Company had reinsurance recoverables on unpaid losses of $1,996.9 million and reinsurance recoverables on paid losses of $101.2 million. All material reinsurance recoverables are from companies with A.M. Best Company ratings of “A-” (Excellent) or better, or are collateralized by the reinsurer for our benefit through letters of credit or trust agreements, or represent recoverables from a state residual market for automobile insurance.</w:t>
      </w:r>
    </w:p>
    <w:p>
      <w:pPr>
        <w:spacing w:after="0" w:line="74" w:lineRule="exact"/>
        <w:rPr>
          <w:sz w:val="20"/>
          <w:szCs w:val="20"/>
          <w:color w:val="auto"/>
        </w:rPr>
      </w:pPr>
    </w:p>
    <w:p>
      <w:pPr>
        <w:ind w:right="280" w:firstLine="363"/>
        <w:spacing w:after="0" w:line="280" w:lineRule="auto"/>
        <w:rPr>
          <w:sz w:val="20"/>
          <w:szCs w:val="20"/>
          <w:color w:val="auto"/>
        </w:rPr>
      </w:pPr>
      <w:r>
        <w:rPr>
          <w:rFonts w:ascii="Times New Roman" w:cs="Times New Roman" w:eastAsia="Times New Roman" w:hAnsi="Times New Roman"/>
          <w:sz w:val="18"/>
          <w:szCs w:val="18"/>
          <w:color w:val="auto"/>
        </w:rPr>
        <w:t>At December 31, 2024, reinsurance recoverables on unpaid losses from the Company’s three largest reinsurers were $398.5 million, $365.5 million, and $216.6 million, representing 49.1% of the total balance.</w:t>
      </w:r>
    </w:p>
    <w:p>
      <w:pPr>
        <w:spacing w:after="0" w:line="55" w:lineRule="exact"/>
        <w:rPr>
          <w:sz w:val="20"/>
          <w:szCs w:val="20"/>
          <w:color w:val="auto"/>
        </w:rPr>
      </w:pPr>
    </w:p>
    <w:p>
      <w:pPr>
        <w:ind w:right="260" w:firstLine="363"/>
        <w:spacing w:after="0" w:line="280" w:lineRule="auto"/>
        <w:rPr>
          <w:sz w:val="20"/>
          <w:szCs w:val="20"/>
          <w:color w:val="auto"/>
        </w:rPr>
      </w:pPr>
      <w:r>
        <w:rPr>
          <w:rFonts w:ascii="Times New Roman" w:cs="Times New Roman" w:eastAsia="Times New Roman" w:hAnsi="Times New Roman"/>
          <w:sz w:val="18"/>
          <w:szCs w:val="18"/>
          <w:color w:val="auto"/>
        </w:rPr>
        <w:t>At December 31, 2024, prepaid reinsurance premiums ceded to the three reinsurers with the largest amount of prepaid reinsurance premiums totaled $37.1 million, $36.8 million, and $34.7 million, representing 36.6% of the total balance.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Premiums written, premiums earned, and losses and loss adjustment expenses incurred are summarized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Written premiums: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1,429,791</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1,506,668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1,408,524</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(850,918)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(814,759)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(745,926)</w:t>
            </w:r>
          </w:p>
        </w:tc>
        <w:tc>
          <w:tcPr>
            <w:tcW w:w="0" w:type="dxa"/>
            <w:vAlign w:val="bottom"/>
          </w:tcPr>
          <w:p>
            <w:pPr>
              <w:spacing w:after="0"/>
              <w:rPr>
                <w:sz w:val="1"/>
                <w:szCs w:val="1"/>
                <w:color w:val="auto"/>
              </w:rPr>
            </w:pPr>
          </w:p>
        </w:tc>
      </w:tr>
      <w:tr>
        <w:trPr>
          <w:trHeight w:val="247"/>
        </w:trPr>
        <w:tc>
          <w:tcPr>
            <w:tcW w:w="6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665,446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Earned premiums: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7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1,445,652</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1,496,708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1,378,619</w:t>
            </w:r>
          </w:p>
        </w:tc>
        <w:tc>
          <w:tcPr>
            <w:tcW w:w="0" w:type="dxa"/>
            <w:vAlign w:val="bottom"/>
          </w:tcPr>
          <w:p>
            <w:pPr>
              <w:spacing w:after="0"/>
              <w:rPr>
                <w:sz w:val="1"/>
                <w:szCs w:val="1"/>
                <w:color w:val="auto"/>
              </w:rPr>
            </w:pPr>
          </w:p>
        </w:tc>
      </w:tr>
      <w:tr>
        <w:trPr>
          <w:trHeight w:val="228"/>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(751,917)</w:t>
            </w:r>
          </w:p>
        </w:tc>
        <w:tc>
          <w:tcPr>
            <w:tcW w:w="0" w:type="dxa"/>
            <w:vAlign w:val="bottom"/>
          </w:tcPr>
          <w:p>
            <w:pPr>
              <w:spacing w:after="0"/>
              <w:rPr>
                <w:sz w:val="1"/>
                <w:szCs w:val="1"/>
                <w:color w:val="auto"/>
              </w:rPr>
            </w:pPr>
          </w:p>
        </w:tc>
      </w:tr>
      <w:tr>
        <w:trPr>
          <w:trHeight w:val="222"/>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600,196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629,734</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Losses and loss adjustment expenses: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1,343,698</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1,204,532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937,393</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(706,407)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(498,095)</w:t>
            </w:r>
          </w:p>
        </w:tc>
        <w:tc>
          <w:tcPr>
            <w:tcW w:w="0" w:type="dxa"/>
            <w:vAlign w:val="bottom"/>
          </w:tcPr>
          <w:p>
            <w:pPr>
              <w:spacing w:after="0"/>
              <w:rPr>
                <w:sz w:val="1"/>
                <w:szCs w:val="1"/>
                <w:color w:val="auto"/>
              </w:rPr>
            </w:pPr>
          </w:p>
        </w:tc>
      </w:tr>
      <w:tr>
        <w:trPr>
          <w:trHeight w:val="247"/>
        </w:trPr>
        <w:tc>
          <w:tcPr>
            <w:tcW w:w="6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440,642</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Senior Debt</w:t>
      </w:r>
    </w:p>
    <w:p>
      <w:pPr>
        <w:spacing w:after="0" w:line="119" w:lineRule="exact"/>
        <w:rPr>
          <w:sz w:val="20"/>
          <w:szCs w:val="20"/>
          <w:color w:val="auto"/>
        </w:rPr>
      </w:pPr>
    </w:p>
    <w:p>
      <w:pPr>
        <w:ind w:right="340" w:firstLine="363"/>
        <w:spacing w:after="0" w:line="280" w:lineRule="auto"/>
        <w:rPr>
          <w:sz w:val="20"/>
          <w:szCs w:val="20"/>
          <w:color w:val="auto"/>
        </w:rPr>
      </w:pPr>
      <w:r>
        <w:rPr>
          <w:rFonts w:ascii="Times New Roman" w:cs="Times New Roman" w:eastAsia="Times New Roman" w:hAnsi="Times New Roman"/>
          <w:sz w:val="18"/>
          <w:szCs w:val="18"/>
          <w:color w:val="auto"/>
        </w:rPr>
        <w:t>The Company has a $257.5 million senior revolving credit facility (as amended or amended and restated, the "2013 Facility”). The 2013 Facility is comprised of the following at December 31, 2024:</w:t>
      </w:r>
    </w:p>
    <w:p>
      <w:pPr>
        <w:spacing w:after="0" w:line="55" w:lineRule="exact"/>
        <w:rPr>
          <w:sz w:val="20"/>
          <w:szCs w:val="20"/>
          <w:color w:val="auto"/>
        </w:rPr>
      </w:pPr>
    </w:p>
    <w:p>
      <w:pPr>
        <w:ind w:left="660" w:right="140" w:hanging="330"/>
        <w:spacing w:after="0" w:line="256" w:lineRule="auto"/>
        <w:tabs>
          <w:tab w:leader="none" w:pos="56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$212.5 million unsecured revolving facility to meet the working capital needs of the Company. All unpaid principal on the revolver is due at maturity. Interest accrues quarterly and is payable in arrears, currently at 1-month SOFR (the Company, per the terms of the credit agreement, can elect between one, three, or six month interest periods) plus a 0.1% SOFR index adjustment and a SOFR margin (1.75% at December 31, 2024), which is subject to change according to terms in the credit agreement. At December 31, 2024 and 2023, the Company had a drawn balance of $185.8 million outstanding on the unsecured revolver.</w:t>
      </w:r>
    </w:p>
    <w:p>
      <w:pPr>
        <w:spacing w:after="0" w:line="78" w:lineRule="exact"/>
        <w:rPr>
          <w:rFonts w:ascii="Times New Roman" w:cs="Times New Roman" w:eastAsia="Times New Roman" w:hAnsi="Times New Roman"/>
          <w:sz w:val="18"/>
          <w:szCs w:val="18"/>
          <w:color w:val="auto"/>
        </w:rPr>
      </w:pPr>
    </w:p>
    <w:p>
      <w:pPr>
        <w:ind w:left="660" w:right="40" w:hanging="330"/>
        <w:spacing w:after="0" w:line="264" w:lineRule="auto"/>
        <w:tabs>
          <w:tab w:leader="none" w:pos="56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$45.0 million secured revolving facility to issue letters of credit for the benefit of third-party reinsureds. At December 31, 2024, the Company had $7.5 million of letters of credit issued under the secured facility, all of which are collateralized by a back-to-back letter of credit issued by Comerica Bank on behalf of JRG Re.</w:t>
      </w:r>
    </w:p>
    <w:p>
      <w:pPr>
        <w:spacing w:after="0" w:line="69" w:lineRule="exact"/>
        <w:rPr>
          <w:sz w:val="20"/>
          <w:szCs w:val="20"/>
          <w:color w:val="auto"/>
        </w:rPr>
      </w:pPr>
    </w:p>
    <w:p>
      <w:pPr>
        <w:ind w:right="20" w:firstLine="323"/>
        <w:spacing w:after="0" w:line="256" w:lineRule="auto"/>
        <w:rPr>
          <w:sz w:val="20"/>
          <w:szCs w:val="20"/>
          <w:color w:val="auto"/>
        </w:rPr>
      </w:pPr>
      <w:r>
        <w:rPr>
          <w:rFonts w:ascii="Times New Roman" w:cs="Times New Roman" w:eastAsia="Times New Roman" w:hAnsi="Times New Roman"/>
          <w:sz w:val="18"/>
          <w:szCs w:val="18"/>
          <w:color w:val="auto"/>
        </w:rPr>
        <w:t>On July 7, 2023, the Company entered into a Third Amended and Restated Credit Agreement for the 2013 Facility which, among other things, extended the maturity date of such facility until July 7, 2026 and increased the applicable interest rate and letter of credit fees. The 2013 Facility has been amended from time to time, including on April 16, 2024 when the 2013 Facility was amended in connection with the closing of the sale of JRG Re by the Company to (i) release JRG Re as a borrower and release all collateral pledged by JRG Re thereunder, and (ii) decrease the secured revolving facility commitment from $102.5 million to $45.0 million.</w:t>
      </w:r>
    </w:p>
    <w:p>
      <w:pPr>
        <w:spacing w:after="0" w:line="79" w:lineRule="exact"/>
        <w:rPr>
          <w:sz w:val="20"/>
          <w:szCs w:val="20"/>
          <w:color w:val="auto"/>
        </w:rPr>
      </w:pPr>
    </w:p>
    <w:p>
      <w:pPr>
        <w:ind w:right="100" w:firstLine="323"/>
        <w:spacing w:after="0" w:line="255" w:lineRule="auto"/>
        <w:rPr>
          <w:sz w:val="20"/>
          <w:szCs w:val="20"/>
          <w:color w:val="auto"/>
        </w:rPr>
      </w:pPr>
      <w:r>
        <w:rPr>
          <w:rFonts w:ascii="Times New Roman" w:cs="Times New Roman" w:eastAsia="Times New Roman" w:hAnsi="Times New Roman"/>
          <w:sz w:val="18"/>
          <w:szCs w:val="18"/>
          <w:color w:val="auto"/>
        </w:rPr>
        <w:t>Additionally, the Third Amended and Restated Credit Agreement provides for an accordion feature that permits the Company to request that one or more lenders (without the consent of the other lenders) or one or more financial institutions which were not previously party to the Third Amended and Restated Credit Agreement (with the consent of the administrative agent) provide it with increases in the secured or unsecured revolving credit facilities of up to an aggregate of $100.0 million, which is unchanged from the accordion feature set forth in the Second Amended and Restated Credit Agreement. The Company’s ability to request such increases in the revolving credit facility is subject to its compliance with customary conditions set forth in the Third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firstLine="323"/>
        <w:spacing w:after="0" w:line="280" w:lineRule="auto"/>
        <w:rPr>
          <w:sz w:val="20"/>
          <w:szCs w:val="20"/>
          <w:color w:val="auto"/>
        </w:rPr>
      </w:pPr>
      <w:r>
        <w:rPr>
          <w:rFonts w:ascii="Times New Roman" w:cs="Times New Roman" w:eastAsia="Times New Roman" w:hAnsi="Times New Roman"/>
          <w:sz w:val="18"/>
          <w:szCs w:val="18"/>
          <w:color w:val="auto"/>
        </w:rPr>
        <w:t>A subsidiary of the bank holding company for which the former Non-Executive Chairman of the Company was previously Lead Independent Director is one of the lenders for the 2013 Facility, with a $40.9 million commitment allocation on the total $257.5 million 2013 Facility.</w:t>
      </w:r>
    </w:p>
    <w:p>
      <w:pPr>
        <w:spacing w:after="0" w:line="55" w:lineRule="exact"/>
        <w:rPr>
          <w:sz w:val="20"/>
          <w:szCs w:val="20"/>
          <w:color w:val="auto"/>
        </w:rPr>
      </w:pPr>
    </w:p>
    <w:p>
      <w:pPr>
        <w:ind w:firstLine="323"/>
        <w:spacing w:after="0" w:line="280" w:lineRule="auto"/>
        <w:rPr>
          <w:sz w:val="20"/>
          <w:szCs w:val="20"/>
          <w:color w:val="auto"/>
        </w:rPr>
      </w:pPr>
      <w:r>
        <w:rPr>
          <w:rFonts w:ascii="Times New Roman" w:cs="Times New Roman" w:eastAsia="Times New Roman" w:hAnsi="Times New Roman"/>
          <w:sz w:val="18"/>
          <w:szCs w:val="18"/>
          <w:color w:val="auto"/>
        </w:rPr>
        <w:t>The 2013 Facility contains certain financial and other covenants (including minimum net worth, maximum ratio of total adjusted debt outstanding to total capitalization, and financial strength ratings) with which the Company was in compliance at December 31, 2024.</w:t>
      </w:r>
    </w:p>
    <w:p>
      <w:pPr>
        <w:spacing w:after="0" w:line="55" w:lineRule="exact"/>
        <w:rPr>
          <w:sz w:val="20"/>
          <w:szCs w:val="20"/>
          <w:color w:val="auto"/>
        </w:rPr>
      </w:pPr>
    </w:p>
    <w:p>
      <w:pPr>
        <w:ind w:firstLine="363"/>
        <w:spacing w:after="0" w:line="279" w:lineRule="auto"/>
        <w:rPr>
          <w:sz w:val="20"/>
          <w:szCs w:val="20"/>
          <w:color w:val="auto"/>
        </w:rPr>
      </w:pPr>
      <w:r>
        <w:rPr>
          <w:rFonts w:ascii="Times New Roman" w:cs="Times New Roman" w:eastAsia="Times New Roman" w:hAnsi="Times New Roman"/>
          <w:sz w:val="17"/>
          <w:szCs w:val="17"/>
          <w:color w:val="auto"/>
        </w:rPr>
        <w:t>On August 2, 2017, the Company and its wholly-owned subsidiary, JRG Re, together as borrowers, entered into a credit agreement (the "2017 Facility") that provided the Company with a revolving line of credit of up to $100.0 million, which was used for loans and letters of credit made or issued, at the borrowers' option, on a secured or unsecured basis. The loans and letters of credit made or issued under the revolving line of credit were used to finance the Borrowers’ general corporate purposes. Obligations under the 2017 Facility carried a variable rate of interest subject to terms in the credit agreement.</w:t>
      </w:r>
    </w:p>
    <w:p>
      <w:pPr>
        <w:spacing w:after="0" w:line="58" w:lineRule="exact"/>
        <w:rPr>
          <w:sz w:val="20"/>
          <w:szCs w:val="20"/>
          <w:color w:val="auto"/>
        </w:rPr>
      </w:pPr>
    </w:p>
    <w:p>
      <w:pPr>
        <w:ind w:right="40" w:firstLine="323"/>
        <w:spacing w:after="0" w:line="256" w:lineRule="auto"/>
        <w:rPr>
          <w:sz w:val="20"/>
          <w:szCs w:val="20"/>
          <w:color w:val="auto"/>
        </w:rPr>
      </w:pPr>
      <w:r>
        <w:rPr>
          <w:rFonts w:ascii="Times New Roman" w:cs="Times New Roman" w:eastAsia="Times New Roman" w:hAnsi="Times New Roman"/>
          <w:sz w:val="18"/>
          <w:szCs w:val="18"/>
          <w:color w:val="auto"/>
        </w:rPr>
        <w:t>The 2017 Facility was amended from time to time since its inception in 2017, including on April 16, 2024 in connection with the closing of the sale of JRG Re by the Company to (i) release JRG Re as a borrower and release all collateral pledged by JRG Re thereunder, (ii) increase the applicable interest rates, (iii) eliminate the letter of credit portion of the facility, and (iv) to build in an automatic decrease of the facility amount by the amount of each letter of credit outstanding under the 2017 Facility as of the date of the amendment with effect from the date each such letter of credit is cancelled. The 2017 Facility was terminated in November 2024.</w:t>
      </w:r>
    </w:p>
    <w:p>
      <w:pPr>
        <w:spacing w:after="0" w:line="79" w:lineRule="exact"/>
        <w:rPr>
          <w:sz w:val="20"/>
          <w:szCs w:val="20"/>
          <w:color w:val="auto"/>
        </w:rPr>
      </w:pPr>
    </w:p>
    <w:p>
      <w:pPr>
        <w:ind w:right="280" w:firstLine="363"/>
        <w:spacing w:after="0" w:line="280" w:lineRule="auto"/>
        <w:rPr>
          <w:sz w:val="20"/>
          <w:szCs w:val="20"/>
          <w:color w:val="auto"/>
        </w:rPr>
      </w:pPr>
      <w:r>
        <w:rPr>
          <w:rFonts w:ascii="Times New Roman" w:cs="Times New Roman" w:eastAsia="Times New Roman" w:hAnsi="Times New Roman"/>
          <w:sz w:val="18"/>
          <w:szCs w:val="18"/>
          <w:color w:val="auto"/>
        </w:rPr>
        <w:t>An affiliate of the lender under the 2017 Facility was an underwriter in the December 2014 initial public offering of the Company’s common shares and a joint lead book-running manager in the Company’s May 2021 public offering of the Company’s common shares.</w:t>
      </w:r>
    </w:p>
    <w:p>
      <w:pPr>
        <w:spacing w:after="0" w:line="55" w:lineRule="exact"/>
        <w:rPr>
          <w:sz w:val="20"/>
          <w:szCs w:val="20"/>
          <w:color w:val="auto"/>
        </w:rPr>
      </w:pPr>
    </w:p>
    <w:p>
      <w:pPr>
        <w:ind w:right="20" w:firstLine="363"/>
        <w:spacing w:after="0" w:line="256" w:lineRule="auto"/>
        <w:rPr>
          <w:sz w:val="20"/>
          <w:szCs w:val="20"/>
          <w:color w:val="auto"/>
        </w:rPr>
      </w:pPr>
      <w:r>
        <w:rPr>
          <w:rFonts w:ascii="Times New Roman" w:cs="Times New Roman" w:eastAsia="Times New Roman" w:hAnsi="Times New Roman"/>
          <w:sz w:val="18"/>
          <w:szCs w:val="18"/>
          <w:color w:val="auto"/>
        </w:rPr>
        <w:t>On May 26, 2004, James River Group issued $15.0 million of unsecured, floating rate senior debentures (the “Senior Debt”), due April 29, 2034 unless accelerated earlier, through an indenture. The Senior Debt is not redeemable by the holder and is not subject to sinking fund requirements. Interest accrues quarterly and is payable in arrears at a per annum rate of the three-month SOFR on the Determination Date (as defined in the indenture) plus a spread adjustment of 0.26% and a margin of 3.85%. The Senior Debt is redeemable prior to its stated maturity in whole or in part, at the option of James River Group.</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terms of the indenture generally provide that so long as the Senior Debt is outstanding, neither James River Group nor any of its subsidiaries may:</w:t>
      </w:r>
    </w:p>
    <w:p>
      <w:pPr>
        <w:spacing w:after="0" w:line="115" w:lineRule="exact"/>
        <w:rPr>
          <w:sz w:val="20"/>
          <w:szCs w:val="20"/>
          <w:color w:val="auto"/>
        </w:rPr>
      </w:pPr>
    </w:p>
    <w:p>
      <w:pPr>
        <w:ind w:left="660" w:right="140" w:hanging="330"/>
        <w:spacing w:after="0" w:line="280" w:lineRule="auto"/>
        <w:tabs>
          <w:tab w:leader="none" w:pos="57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or permit to exist any indebtedness that is secured by any encumbrance on the capital stock of James River Group or any of its subsidiaries which is senior to the Senior Debt; or</w:t>
      </w:r>
    </w:p>
    <w:p>
      <w:pPr>
        <w:spacing w:after="0" w:line="54" w:lineRule="exact"/>
        <w:rPr>
          <w:rFonts w:ascii="Times New Roman" w:cs="Times New Roman" w:eastAsia="Times New Roman" w:hAnsi="Times New Roman"/>
          <w:sz w:val="18"/>
          <w:szCs w:val="18"/>
          <w:color w:val="auto"/>
        </w:rPr>
      </w:pPr>
    </w:p>
    <w:p>
      <w:pPr>
        <w:ind w:left="660" w:hanging="330"/>
        <w:spacing w:after="0" w:line="280" w:lineRule="auto"/>
        <w:tabs>
          <w:tab w:leader="none" w:pos="57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transfer or otherwise dispose of any shares of, securities convertible into, or warrants, rights or options to subscribe for or purchase shares of, capital stock of any subsidiary.</w:t>
      </w:r>
    </w:p>
    <w:p>
      <w:pPr>
        <w:spacing w:after="0" w:line="55" w:lineRule="exact"/>
        <w:rPr>
          <w:sz w:val="20"/>
          <w:szCs w:val="20"/>
          <w:color w:val="auto"/>
        </w:rPr>
      </w:pPr>
    </w:p>
    <w:p>
      <w:pPr>
        <w:jc w:val="both"/>
        <w:ind w:right="200" w:firstLine="363"/>
        <w:spacing w:after="0" w:line="264" w:lineRule="auto"/>
        <w:rPr>
          <w:sz w:val="20"/>
          <w:szCs w:val="20"/>
          <w:color w:val="auto"/>
        </w:rPr>
      </w:pPr>
      <w:r>
        <w:rPr>
          <w:rFonts w:ascii="Times New Roman" w:cs="Times New Roman" w:eastAsia="Times New Roman" w:hAnsi="Times New Roman"/>
          <w:sz w:val="18"/>
          <w:szCs w:val="18"/>
          <w:color w:val="auto"/>
        </w:rPr>
        <w:t>The terms of the Senior Debt contain certain covenants, with which the Company was in compliance at December 31, 2024, and which, among other things, restrict our ability to assume senior indebtedness secured by our U.S. holding company's common stock or its subsidiaries' capital stock or to issue shares of its subsidiaries' capital stock.</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payable is included in “accrued expenses” in the accompanying consolidated balance sheets.</w:t>
      </w:r>
    </w:p>
    <w:p>
      <w:pPr>
        <w:spacing w:after="0" w:line="111" w:lineRule="exact"/>
        <w:rPr>
          <w:sz w:val="20"/>
          <w:szCs w:val="20"/>
          <w:color w:val="auto"/>
        </w:rPr>
      </w:pPr>
    </w:p>
    <w:p>
      <w:pPr>
        <w:ind w:left="400" w:hanging="393"/>
        <w:spacing w:after="0"/>
        <w:tabs>
          <w:tab w:leader="none" w:pos="4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Junior Subordinated Debt</w:t>
      </w:r>
    </w:p>
    <w:p>
      <w:pPr>
        <w:spacing w:after="0" w:line="119" w:lineRule="exact"/>
        <w:rPr>
          <w:sz w:val="20"/>
          <w:szCs w:val="20"/>
          <w:color w:val="auto"/>
        </w:rPr>
      </w:pPr>
    </w:p>
    <w:p>
      <w:pPr>
        <w:ind w:right="40" w:firstLine="363"/>
        <w:spacing w:after="0" w:line="259" w:lineRule="auto"/>
        <w:rPr>
          <w:sz w:val="20"/>
          <w:szCs w:val="20"/>
          <w:color w:val="auto"/>
        </w:rPr>
      </w:pPr>
      <w:r>
        <w:rPr>
          <w:rFonts w:ascii="Times New Roman" w:cs="Times New Roman" w:eastAsia="Times New Roman" w:hAnsi="Times New Roman"/>
          <w:sz w:val="18"/>
          <w:szCs w:val="18"/>
          <w:color w:val="auto"/>
        </w:rPr>
        <w:t>The Company issued trust preferred securities (“Trust Preferred Securities”) through James River Capital Trust I, James River Capital Trust II, James River Capital Trust III, James River Capital Trust IV, and Franklin Holdings II (Bermuda) Capital Trust I, (each, a “Trust”; collectively, the “Trusts”). These Delaware statutory trusts are sponsored and wholly-owned by the Company. Each Trust was created solely for the purpose of issuing the Trust Preferred Securities.</w:t>
      </w:r>
    </w:p>
    <w:p>
      <w:pPr>
        <w:spacing w:after="0" w:line="74" w:lineRule="exact"/>
        <w:rPr>
          <w:sz w:val="20"/>
          <w:szCs w:val="20"/>
          <w:color w:val="auto"/>
        </w:rPr>
      </w:pPr>
    </w:p>
    <w:p>
      <w:pPr>
        <w:ind w:right="140" w:firstLine="363"/>
        <w:spacing w:after="0" w:line="259" w:lineRule="auto"/>
        <w:rPr>
          <w:sz w:val="20"/>
          <w:szCs w:val="20"/>
          <w:color w:val="auto"/>
        </w:rPr>
      </w:pPr>
      <w:r>
        <w:rPr>
          <w:rFonts w:ascii="Times New Roman" w:cs="Times New Roman" w:eastAsia="Times New Roman" w:hAnsi="Times New Roman"/>
          <w:sz w:val="18"/>
          <w:szCs w:val="18"/>
          <w:color w:val="auto"/>
        </w:rPr>
        <w:t>Each Trust used proceeds from the sale of its Trust Preferred Securities to purchase the Company’s floating rate junior subordinated debentures (the “Junior Subordinated Debt”) issued to the Trust under an indenture (each, an “Indenture”; collectively, the “Indentures”). The Junior Subordinated Debt is the sole asset of each Trust, and the Trust Preferred Securities are the sole liabilities of each Trust. The Company purchased all of the outstanding common stock of the Trusts, and the investment in the Trusts is included in “other assets” in the accompanying consolidated balance sheets.</w:t>
      </w: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firstLine="323"/>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nature and terms of the junior subordinated debt and trust preferred securities outstanding at December 31, 2024 (including the Company’s repurchases of a portion of these trust preferred securities):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Franklin</w:t>
            </w:r>
          </w:p>
        </w:tc>
        <w:tc>
          <w:tcPr>
            <w:tcW w:w="0" w:type="dxa"/>
            <w:vAlign w:val="bottom"/>
          </w:tcPr>
          <w:p>
            <w:pPr>
              <w:spacing w:after="0"/>
              <w:rPr>
                <w:sz w:val="1"/>
                <w:szCs w:val="1"/>
                <w:color w:val="auto"/>
              </w:rPr>
            </w:pPr>
          </w:p>
        </w:tc>
      </w:tr>
      <w:tr>
        <w:trPr>
          <w:trHeight w:val="146"/>
        </w:trPr>
        <w:tc>
          <w:tcPr>
            <w:tcW w:w="42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Holdings II</w:t>
            </w:r>
          </w:p>
        </w:tc>
        <w:tc>
          <w:tcPr>
            <w:tcW w:w="0" w:type="dxa"/>
            <w:vAlign w:val="bottom"/>
          </w:tcPr>
          <w:p>
            <w:pPr>
              <w:spacing w:after="0"/>
              <w:rPr>
                <w:sz w:val="1"/>
                <w:szCs w:val="1"/>
                <w:color w:val="auto"/>
              </w:rPr>
            </w:pPr>
          </w:p>
        </w:tc>
      </w:tr>
      <w:tr>
        <w:trPr>
          <w:trHeight w:val="137"/>
        </w:trPr>
        <w:tc>
          <w:tcPr>
            <w:tcW w:w="42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(Bermuda)</w:t>
            </w:r>
          </w:p>
        </w:tc>
        <w:tc>
          <w:tcPr>
            <w:tcW w:w="0" w:type="dxa"/>
            <w:vAlign w:val="bottom"/>
          </w:tcPr>
          <w:p>
            <w:pPr>
              <w:spacing w:after="0"/>
              <w:rPr>
                <w:sz w:val="1"/>
                <w:szCs w:val="1"/>
                <w:color w:val="auto"/>
              </w:rPr>
            </w:pPr>
          </w:p>
        </w:tc>
      </w:tr>
      <w:tr>
        <w:trPr>
          <w:trHeight w:val="146"/>
        </w:trPr>
        <w:tc>
          <w:tcPr>
            <w:tcW w:w="4220" w:type="dxa"/>
            <w:vAlign w:val="bottom"/>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Trust I</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 II</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 III</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 IV</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Trust I</w:t>
            </w:r>
          </w:p>
        </w:tc>
        <w:tc>
          <w:tcPr>
            <w:tcW w:w="0" w:type="dxa"/>
            <w:vAlign w:val="bottom"/>
          </w:tcPr>
          <w:p>
            <w:pPr>
              <w:spacing w:after="0"/>
              <w:rPr>
                <w:sz w:val="1"/>
                <w:szCs w:val="1"/>
                <w:color w:val="auto"/>
              </w:rPr>
            </w:pPr>
          </w:p>
        </w:tc>
      </w:tr>
      <w:tr>
        <w:trPr>
          <w:trHeight w:val="195"/>
        </w:trPr>
        <w:tc>
          <w:tcPr>
            <w:tcW w:w="4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2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color w:val="auto"/>
              </w:rPr>
              <w:t>Issue date</w:t>
            </w:r>
          </w:p>
        </w:tc>
        <w:tc>
          <w:tcPr>
            <w:tcW w:w="136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May 26,</w:t>
            </w:r>
          </w:p>
        </w:tc>
        <w:tc>
          <w:tcPr>
            <w:tcW w:w="14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December 15,</w:t>
            </w:r>
          </w:p>
        </w:tc>
        <w:tc>
          <w:tcPr>
            <w:tcW w:w="14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June 15,</w:t>
            </w:r>
          </w:p>
        </w:tc>
        <w:tc>
          <w:tcPr>
            <w:tcW w:w="14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December 11,</w:t>
            </w:r>
          </w:p>
        </w:tc>
        <w:tc>
          <w:tcPr>
            <w:tcW w:w="13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January 10,</w:t>
            </w:r>
          </w:p>
        </w:tc>
        <w:tc>
          <w:tcPr>
            <w:tcW w:w="0" w:type="dxa"/>
            <w:vAlign w:val="bottom"/>
          </w:tcPr>
          <w:p>
            <w:pPr>
              <w:spacing w:after="0"/>
              <w:rPr>
                <w:sz w:val="1"/>
                <w:szCs w:val="1"/>
                <w:color w:val="auto"/>
              </w:rPr>
            </w:pPr>
          </w:p>
        </w:tc>
      </w:tr>
      <w:tr>
        <w:trPr>
          <w:trHeight w:val="215"/>
        </w:trPr>
        <w:tc>
          <w:tcPr>
            <w:tcW w:w="4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2004</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2004</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2006</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2007</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2008</w:t>
            </w:r>
          </w:p>
        </w:tc>
        <w:tc>
          <w:tcPr>
            <w:tcW w:w="0" w:type="dxa"/>
            <w:vAlign w:val="bottom"/>
          </w:tcPr>
          <w:p>
            <w:pPr>
              <w:spacing w:after="0"/>
              <w:rPr>
                <w:sz w:val="1"/>
                <w:szCs w:val="1"/>
                <w:color w:val="auto"/>
              </w:rPr>
            </w:pPr>
          </w:p>
        </w:tc>
      </w:tr>
      <w:tr>
        <w:trPr>
          <w:trHeight w:val="212"/>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amount of Trust Preferred Securities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$54,000</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$30,000</w:t>
            </w:r>
          </w:p>
        </w:tc>
        <w:tc>
          <w:tcPr>
            <w:tcW w:w="0" w:type="dxa"/>
            <w:vAlign w:val="bottom"/>
          </w:tcPr>
          <w:p>
            <w:pPr>
              <w:spacing w:after="0"/>
              <w:rPr>
                <w:sz w:val="1"/>
                <w:szCs w:val="1"/>
                <w:color w:val="auto"/>
              </w:rPr>
            </w:pPr>
          </w:p>
        </w:tc>
      </w:tr>
      <w:tr>
        <w:trPr>
          <w:trHeight w:val="218"/>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amount of Junior Subordinated Debt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$7,217</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$15,464</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$20,619</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$55,670</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$30,928</w:t>
            </w:r>
          </w:p>
        </w:tc>
        <w:tc>
          <w:tcPr>
            <w:tcW w:w="0" w:type="dxa"/>
            <w:vAlign w:val="bottom"/>
          </w:tcPr>
          <w:p>
            <w:pPr>
              <w:spacing w:after="0"/>
              <w:rPr>
                <w:sz w:val="1"/>
                <w:szCs w:val="1"/>
                <w:color w:val="auto"/>
              </w:rPr>
            </w:pPr>
          </w:p>
        </w:tc>
      </w:tr>
      <w:tr>
        <w:trPr>
          <w:trHeight w:val="212"/>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Carrying amount of Junior Subordinated Debt net of repurchases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$7,217</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$15,464</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$20,619</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$44,827</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$15,928</w:t>
            </w:r>
          </w:p>
        </w:tc>
        <w:tc>
          <w:tcPr>
            <w:tcW w:w="0" w:type="dxa"/>
            <w:vAlign w:val="bottom"/>
          </w:tcPr>
          <w:p>
            <w:pPr>
              <w:spacing w:after="0"/>
              <w:rPr>
                <w:sz w:val="1"/>
                <w:szCs w:val="1"/>
                <w:color w:val="auto"/>
              </w:rPr>
            </w:pPr>
          </w:p>
        </w:tc>
      </w:tr>
      <w:tr>
        <w:trPr>
          <w:trHeight w:val="164"/>
        </w:trPr>
        <w:tc>
          <w:tcPr>
            <w:tcW w:w="42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Maturity date of Junior Subordinated Debt, unless accelerated</w:t>
            </w:r>
          </w:p>
        </w:tc>
        <w:tc>
          <w:tcPr>
            <w:tcW w:w="136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May 24,</w:t>
            </w:r>
          </w:p>
        </w:tc>
        <w:tc>
          <w:tcPr>
            <w:tcW w:w="142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December 15,</w:t>
            </w:r>
          </w:p>
        </w:tc>
        <w:tc>
          <w:tcPr>
            <w:tcW w:w="142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June 15,</w:t>
            </w:r>
          </w:p>
        </w:tc>
        <w:tc>
          <w:tcPr>
            <w:tcW w:w="142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December 15,</w:t>
            </w:r>
          </w:p>
        </w:tc>
        <w:tc>
          <w:tcPr>
            <w:tcW w:w="138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March 15,</w:t>
            </w:r>
          </w:p>
        </w:tc>
        <w:tc>
          <w:tcPr>
            <w:tcW w:w="0" w:type="dxa"/>
            <w:vAlign w:val="bottom"/>
          </w:tcPr>
          <w:p>
            <w:pPr>
              <w:spacing w:after="0"/>
              <w:rPr>
                <w:sz w:val="1"/>
                <w:szCs w:val="1"/>
                <w:color w:val="auto"/>
              </w:rPr>
            </w:pPr>
          </w:p>
        </w:tc>
      </w:tr>
      <w:tr>
        <w:trPr>
          <w:trHeight w:val="215"/>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earlier</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2034</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2034</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2036</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2037</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2038</w:t>
            </w:r>
          </w:p>
        </w:tc>
        <w:tc>
          <w:tcPr>
            <w:tcW w:w="0" w:type="dxa"/>
            <w:vAlign w:val="bottom"/>
          </w:tcPr>
          <w:p>
            <w:pPr>
              <w:spacing w:after="0"/>
              <w:rPr>
                <w:sz w:val="1"/>
                <w:szCs w:val="1"/>
                <w:color w:val="auto"/>
              </w:rPr>
            </w:pPr>
          </w:p>
        </w:tc>
      </w:tr>
      <w:tr>
        <w:trPr>
          <w:trHeight w:val="212"/>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Trust common stock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$217</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$464</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$619</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$1,670</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$928</w:t>
            </w:r>
          </w:p>
        </w:tc>
        <w:tc>
          <w:tcPr>
            <w:tcW w:w="0" w:type="dxa"/>
            <w:vAlign w:val="bottom"/>
          </w:tcPr>
          <w:p>
            <w:pPr>
              <w:spacing w:after="0"/>
              <w:rPr>
                <w:sz w:val="1"/>
                <w:szCs w:val="1"/>
                <w:color w:val="auto"/>
              </w:rPr>
            </w:pPr>
          </w:p>
        </w:tc>
      </w:tr>
      <w:tr>
        <w:trPr>
          <w:trHeight w:val="164"/>
        </w:trPr>
        <w:tc>
          <w:tcPr>
            <w:tcW w:w="42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Interest rate, per annum</w:t>
            </w:r>
          </w:p>
        </w:tc>
        <w:tc>
          <w:tcPr>
            <w:tcW w:w="136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Three-Month</w:t>
            </w:r>
          </w:p>
        </w:tc>
        <w:tc>
          <w:tcPr>
            <w:tcW w:w="142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Three-Month</w:t>
            </w:r>
          </w:p>
        </w:tc>
        <w:tc>
          <w:tcPr>
            <w:tcW w:w="142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Three-Month</w:t>
            </w:r>
          </w:p>
        </w:tc>
        <w:tc>
          <w:tcPr>
            <w:tcW w:w="142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Three-Month</w:t>
            </w:r>
          </w:p>
        </w:tc>
        <w:tc>
          <w:tcPr>
            <w:tcW w:w="138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Three-Month</w:t>
            </w:r>
          </w:p>
        </w:tc>
        <w:tc>
          <w:tcPr>
            <w:tcW w:w="0" w:type="dxa"/>
            <w:vAlign w:val="bottom"/>
          </w:tcPr>
          <w:p>
            <w:pPr>
              <w:spacing w:after="0"/>
              <w:rPr>
                <w:sz w:val="1"/>
                <w:szCs w:val="1"/>
                <w:color w:val="auto"/>
              </w:rPr>
            </w:pPr>
          </w:p>
        </w:tc>
      </w:tr>
      <w:tr>
        <w:trPr>
          <w:trHeight w:val="215"/>
        </w:trPr>
        <w:tc>
          <w:tcPr>
            <w:tcW w:w="4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SOFR plus 4.3%</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SOFR plus 3.7%</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SOFR plus 3.3%</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SOFR plus 3.4%</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SOFR plus 4.3%</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220" w:firstLine="363"/>
        <w:spacing w:after="0" w:line="259" w:lineRule="auto"/>
        <w:rPr>
          <w:sz w:val="20"/>
          <w:szCs w:val="20"/>
          <w:color w:val="auto"/>
        </w:rPr>
      </w:pPr>
      <w:r>
        <w:rPr>
          <w:rFonts w:ascii="Times New Roman" w:cs="Times New Roman" w:eastAsia="Times New Roman" w:hAnsi="Times New Roman"/>
          <w:sz w:val="18"/>
          <w:szCs w:val="18"/>
          <w:color w:val="auto"/>
        </w:rPr>
        <w:t>All of the Junior Subordinated Debt is currently redeemable at 100.0% of the unpaid principal amount at the Company’s option. Interest on the Trust Preferred Securities and interest paid to the Trusts on the Junior Subordinated Debt is payable quarterly in arrears at a per annum rate as described in the table above. The Company has the right to defer interest payments on the Junior Subordinated Debt for up to five years without triggering an event of default.</w:t>
      </w:r>
    </w:p>
    <w:p>
      <w:pPr>
        <w:spacing w:after="0" w:line="74" w:lineRule="exact"/>
        <w:rPr>
          <w:sz w:val="20"/>
          <w:szCs w:val="20"/>
          <w:color w:val="auto"/>
        </w:rPr>
      </w:pPr>
    </w:p>
    <w:p>
      <w:pPr>
        <w:ind w:right="140" w:firstLine="363"/>
        <w:spacing w:after="0" w:line="259" w:lineRule="auto"/>
        <w:rPr>
          <w:sz w:val="20"/>
          <w:szCs w:val="20"/>
          <w:color w:val="auto"/>
        </w:rPr>
      </w:pPr>
      <w:r>
        <w:rPr>
          <w:rFonts w:ascii="Times New Roman" w:cs="Times New Roman" w:eastAsia="Times New Roman" w:hAnsi="Times New Roman"/>
          <w:sz w:val="18"/>
          <w:szCs w:val="18"/>
          <w:color w:val="auto"/>
        </w:rPr>
        <w:t>The Trust Preferred Securities are subject to mandatory redemption in a like amount (a) upon repayment of all of the Junior Subordinated Debt on the stated maturity date, (b) contemporaneously with the optional prepayment of all of the Junior Subordinated Debt in conjunction with a special event (as defined), and (c) five years or more after the issue date, contemporaneously with the optional prepayment, in whole or in part, of the Junior Subordinated Debt. The Indentures contain certain covenants which the Company is in compliance with as of December 31, 2024.</w:t>
      </w:r>
    </w:p>
    <w:p>
      <w:pPr>
        <w:spacing w:after="0" w:line="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payable is included in “accrued expenses” on the accompanying consolidated balance sheets.</w:t>
      </w:r>
    </w:p>
    <w:p>
      <w:pPr>
        <w:spacing w:after="0" w:line="11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Series A Preferred Shares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Issuance and Terms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On February 24, 2022, the Company entered into an Investment Agreement with GPC Partners Investments (Thames) LP (“GPC Partners”), an affiliate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Gallatin Point Capital LLC, relating to the issuance and sale of 150,000 7% Series A Perpetual Cumulative Convertible Preferred Shares, par value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$0.00125 per share (the “Series A Preferred Shares”), for an aggregate purchase price of $150.0 million, or $1,000 per share, in a private placement.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closed on March 1, 2022 (the “Series A Closing Date”).</w:t>
      </w:r>
    </w:p>
    <w:p>
      <w:pPr>
        <w:spacing w:after="0" w:line="97" w:lineRule="exact"/>
        <w:rPr>
          <w:sz w:val="20"/>
          <w:szCs w:val="20"/>
          <w:color w:val="auto"/>
        </w:rPr>
      </w:pPr>
    </w:p>
    <w:p>
      <w:pPr>
        <w:ind w:right="180" w:firstLine="363"/>
        <w:spacing w:after="0" w:line="259" w:lineRule="auto"/>
        <w:rPr>
          <w:sz w:val="20"/>
          <w:szCs w:val="20"/>
          <w:color w:val="auto"/>
        </w:rPr>
      </w:pPr>
      <w:r>
        <w:rPr>
          <w:rFonts w:ascii="Times New Roman" w:cs="Times New Roman" w:eastAsia="Times New Roman" w:hAnsi="Times New Roman"/>
          <w:sz w:val="18"/>
          <w:szCs w:val="18"/>
          <w:color w:val="auto"/>
        </w:rPr>
        <w:t>The Series A Preferred Shares rank senior to the Company's common shares with respect to dividend rights and rights on the distribution of assets on any liquidation, dissolution or winding up of the affairs of the Company, upon which the holders of Series A Preferred Shares would receive the greater of the $1,000 liquidation preference per share (the “Liquidation Preference”) plus accrued and unpaid dividends, or the amount they would have received if they had converted all of their Series A Preferred Shares to common shares immediately before such liquidation, dissolution or winding up.</w:t>
      </w:r>
    </w:p>
    <w:p>
      <w:pPr>
        <w:spacing w:after="0" w:line="74" w:lineRule="exact"/>
        <w:rPr>
          <w:sz w:val="20"/>
          <w:szCs w:val="20"/>
          <w:color w:val="auto"/>
        </w:rPr>
      </w:pPr>
    </w:p>
    <w:p>
      <w:pPr>
        <w:ind w:firstLine="363"/>
        <w:spacing w:after="0" w:line="254" w:lineRule="auto"/>
        <w:rPr>
          <w:sz w:val="20"/>
          <w:szCs w:val="20"/>
          <w:color w:val="auto"/>
        </w:rPr>
      </w:pPr>
      <w:r>
        <w:rPr>
          <w:rFonts w:ascii="Times New Roman" w:cs="Times New Roman" w:eastAsia="Times New Roman" w:hAnsi="Times New Roman"/>
          <w:sz w:val="18"/>
          <w:szCs w:val="18"/>
          <w:color w:val="auto"/>
        </w:rPr>
        <w:t>Holders of the Series A Preferred Shares are entitled to a dividend at the initial rate of 7% of the Liquidation Preference per annum, paid in cash, in-kind in common shares or in Series A Preferred Shares, at the Company's election. Prior to the amendment on November 11, 2024 (as discussed below), on the five-year anniversary of the Series A Closing Date, and each five-year anniversary thereafter, the dividend rate would reset to a rate equal to the five-year U.S. treasury rate plus 5.2%. Dividends accrue and are payable quarterly. Prior to the amendment on November 11, 2024 (disclosed below), cash dividends of $10.5 million were paid in the nine months ended September 30, 2024, including cash dividends paid in January, April, July, and September for the three month periods ended December 31, 2023, March 31, 2024, June 30, 2024, and September 30, 2024. For the years ended December 31, 2023 and 2022, cash dividends of $10.5 million and $8.8 million were declared, respectively, of which $2.6 million was payable at December 31 of both years.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firstLine="363"/>
        <w:spacing w:after="0" w:line="252" w:lineRule="auto"/>
        <w:rPr>
          <w:sz w:val="20"/>
          <w:szCs w:val="20"/>
          <w:color w:val="auto"/>
        </w:rPr>
      </w:pPr>
      <w:r>
        <w:rPr>
          <w:rFonts w:ascii="Times New Roman" w:cs="Times New Roman" w:eastAsia="Times New Roman" w:hAnsi="Times New Roman"/>
          <w:sz w:val="18"/>
          <w:szCs w:val="18"/>
          <w:color w:val="auto"/>
        </w:rPr>
        <w:t>The Series A Preferred Shares are convertible at the option of the holders thereof at any time into common shares at an initial conversion price of $26.5950, making the Series A Preferred Shares initially convertible into 5,640,158 common shares. The conversion price is subject to customary anti-dilution adjustments, including cash dividends on the common shares above specified levels, as well as certain adjustments in case of net adverse reserve developments in excess of a threshold over a period of time. The measurement period for the adverse reserve development anti-dilution adjustment commenced with the quarter beginning January 1, 2022 and ends with the quarter ending December 31, 2025. Prior to the amendment on November 11, 2024 (disclosed below), net adverse reserve development exceeded the threshold. If net adverse reserve development exceeded the threshold at the conclusion of the measurement period (or upon a mandatory or optional conversion, if earlier), the conversion price would be adjusted pursuant to the Certificate of Designations, subject to a floor conversion price of $21.902, and the adjusted conversion price would become effective after the filing of the Company's financial statements for the period ending December 31, 2025 (or immediately after the close of business on the date of the public filing of the Company's financial statements for the most recent quarterly period preceding a mandatory or optional conversion, if earlier). None of the other triggers that would result in additional adjustments to the conversion price had been met prior to the amendment on November 11, 2024.</w:t>
      </w:r>
    </w:p>
    <w:p>
      <w:pPr>
        <w:spacing w:after="0" w:line="82" w:lineRule="exact"/>
        <w:rPr>
          <w:sz w:val="20"/>
          <w:szCs w:val="20"/>
          <w:color w:val="auto"/>
        </w:rPr>
      </w:pPr>
    </w:p>
    <w:p>
      <w:pPr>
        <w:ind w:right="40" w:firstLine="363"/>
        <w:spacing w:after="0" w:line="254" w:lineRule="auto"/>
        <w:rPr>
          <w:sz w:val="20"/>
          <w:szCs w:val="20"/>
          <w:color w:val="auto"/>
        </w:rPr>
      </w:pPr>
      <w:r>
        <w:rPr>
          <w:rFonts w:ascii="Times New Roman" w:cs="Times New Roman" w:eastAsia="Times New Roman" w:hAnsi="Times New Roman"/>
          <w:sz w:val="18"/>
          <w:szCs w:val="18"/>
          <w:color w:val="auto"/>
        </w:rPr>
        <w:t>The Certificate of Designations setting forth the terms of the Series A Preferred Shares (the “Certificate of Designations”) limits the Company's ability to pay dividends to its common shareholders. If the Company pays cash dividends of more than $0.05 per common share per quarter, without the consent of at least the majority of the Series A Preferred Shares then outstanding, the Company will be required to reduce the conversion price of the Series A Preferred Shares. Additionally, the payment of cash dividends in excess of $0.10 per common share per quarter is not permitted if the dividends on the Series A Preferred Shares for that quarter are not paid in cash, unless the Company’s U.S.-based insurance subsidiaries satisfy certain capital requirements. Share dividends payable on the common shares to our shareholders also trigger a reduction of the conversion price applicable to the Series A Preferred Shares.</w:t>
      </w:r>
    </w:p>
    <w:p>
      <w:pPr>
        <w:spacing w:after="0" w:line="79" w:lineRule="exact"/>
        <w:rPr>
          <w:sz w:val="20"/>
          <w:szCs w:val="20"/>
          <w:color w:val="auto"/>
        </w:rPr>
      </w:pPr>
    </w:p>
    <w:p>
      <w:pPr>
        <w:ind w:right="60" w:firstLine="363"/>
        <w:spacing w:after="0" w:line="255" w:lineRule="auto"/>
        <w:rPr>
          <w:sz w:val="20"/>
          <w:szCs w:val="20"/>
          <w:color w:val="auto"/>
        </w:rPr>
      </w:pPr>
      <w:r>
        <w:rPr>
          <w:rFonts w:ascii="Times New Roman" w:cs="Times New Roman" w:eastAsia="Times New Roman" w:hAnsi="Times New Roman"/>
          <w:sz w:val="18"/>
          <w:szCs w:val="18"/>
          <w:color w:val="auto"/>
        </w:rPr>
        <w:t>At any time on or after the two year anniversary of the Series A Closing Date, if the volume-weighted average price (“VWAP”) per Common Share is greater than 130% of the then-applicable conversion price for at least twenty (20) consecutive trading days, the Company will be able to elect to convert (a “Mandatory Conversion”) all of the outstanding Series A Preferred Shares into common shares. In the case of a Mandatory Conversion, each Series A Preferred Share then outstanding will be converted into (i) the number of common shares equal to the quotient of (A) the sum of the Liquidation Preference and the accrued and unpaid dividends with respect to such Series A Preferred Share to be converted divided by (B) the conversion price of such share in effect as of the date of the Mandatory Conversion plus (ii) cash in lieu of fractional shares.</w:t>
      </w:r>
    </w:p>
    <w:p>
      <w:pPr>
        <w:spacing w:after="0" w:line="78" w:lineRule="exact"/>
        <w:rPr>
          <w:sz w:val="20"/>
          <w:szCs w:val="20"/>
          <w:color w:val="auto"/>
        </w:rPr>
      </w:pPr>
    </w:p>
    <w:p>
      <w:pPr>
        <w:ind w:right="100" w:firstLine="363"/>
        <w:spacing w:after="0" w:line="256" w:lineRule="auto"/>
        <w:rPr>
          <w:sz w:val="20"/>
          <w:szCs w:val="20"/>
          <w:color w:val="auto"/>
        </w:rPr>
      </w:pPr>
      <w:r>
        <w:rPr>
          <w:rFonts w:ascii="Times New Roman" w:cs="Times New Roman" w:eastAsia="Times New Roman" w:hAnsi="Times New Roman"/>
          <w:sz w:val="18"/>
          <w:szCs w:val="18"/>
          <w:color w:val="auto"/>
        </w:rPr>
        <w:t>Upon any Mandatory Conversion on or before the five-year anniversary of the Series A Closing Date, all dividends that would have accrued from the date of the Mandatory Conversion to the later of the five-year anniversary of the Series A Closing Date or the last day of the eighth quarter following the date of the Mandatory Conversion, the last eight quarters of which will be discounted to present value using a discount rate of 3.5% per annum, and will be immediately payable in common shares, valued at the average of the daily VWAP of the Company’s common shares during the five (5) trading days immediately preceding the Mandatory Conversion.</w:t>
      </w:r>
    </w:p>
    <w:p>
      <w:pPr>
        <w:spacing w:after="0" w:line="79" w:lineRule="exact"/>
        <w:rPr>
          <w:sz w:val="20"/>
          <w:szCs w:val="20"/>
          <w:color w:val="auto"/>
        </w:rPr>
      </w:pPr>
    </w:p>
    <w:p>
      <w:pPr>
        <w:ind w:right="20" w:firstLine="363"/>
        <w:spacing w:after="0" w:line="254" w:lineRule="auto"/>
        <w:rPr>
          <w:sz w:val="20"/>
          <w:szCs w:val="20"/>
          <w:color w:val="auto"/>
        </w:rPr>
      </w:pPr>
      <w:r>
        <w:rPr>
          <w:rFonts w:ascii="Times New Roman" w:cs="Times New Roman" w:eastAsia="Times New Roman" w:hAnsi="Times New Roman"/>
          <w:sz w:val="18"/>
          <w:szCs w:val="18"/>
          <w:color w:val="auto"/>
        </w:rPr>
        <w:t>The holders of the Series A Preferred Shares may require the Company to repurchase their shares upon the occurrence of certain change of control events. Upon the occurrence of a Fundamental Change (as defined in the Certificate of Designations designating the Series A Preferred Shares), each holder of outstanding Series A Preferred Shares will be permitted to, at its election, (i) effective as of immediately prior to the Fundamental Change, convert all or a portion of its Series A Preferred Shares into common shares, or (ii) require the Company to repurchase any or all of such holder’s Series A Preferred Shares at a purchase price per Series A Preferred Share equal to the Liquidation Preference of such Series A Preferred Share plus accrued and unpaid dividends plus, if the Fundamental Change repurchase occurs prior to the five-year anniversary of the Series A Closing Date, all dividends that would have accrued up to such five-year anniversary, but that have not been paid. The repurchase price will be payable in cash.</w:t>
      </w:r>
    </w:p>
    <w:p>
      <w:pPr>
        <w:spacing w:after="0" w:line="79" w:lineRule="exact"/>
        <w:rPr>
          <w:sz w:val="20"/>
          <w:szCs w:val="20"/>
          <w:color w:val="auto"/>
        </w:rPr>
      </w:pPr>
    </w:p>
    <w:p>
      <w:pPr>
        <w:ind w:firstLine="363"/>
        <w:spacing w:after="0" w:line="259" w:lineRule="auto"/>
        <w:rPr>
          <w:sz w:val="20"/>
          <w:szCs w:val="20"/>
          <w:color w:val="auto"/>
        </w:rPr>
      </w:pPr>
      <w:r>
        <w:rPr>
          <w:rFonts w:ascii="Times New Roman" w:cs="Times New Roman" w:eastAsia="Times New Roman" w:hAnsi="Times New Roman"/>
          <w:sz w:val="18"/>
          <w:szCs w:val="18"/>
          <w:color w:val="auto"/>
        </w:rPr>
        <w:t>Because the Company may be required to repurchase all or a portion of the Series A Preferred Shares at the option of the holder upon the occurrence of certain change of control events, the Series A Preferred Shares were classified as mezzanine equity in the Company's consolidated balance sheets and recognized at their fair value of $150.0 million (the proceeds on the date of issuance) less issuance costs of $5.1 million, resulting in a carrying value of $144.9 million.</w:t>
      </w:r>
    </w:p>
    <w:p>
      <w:pPr>
        <w:spacing w:after="0" w:line="74" w:lineRule="exact"/>
        <w:rPr>
          <w:sz w:val="20"/>
          <w:szCs w:val="20"/>
          <w:color w:val="auto"/>
        </w:rPr>
      </w:pPr>
    </w:p>
    <w:p>
      <w:pPr>
        <w:jc w:val="both"/>
        <w:ind w:right="380" w:firstLine="323"/>
        <w:spacing w:after="0" w:line="264" w:lineRule="auto"/>
        <w:rPr>
          <w:sz w:val="20"/>
          <w:szCs w:val="20"/>
          <w:color w:val="auto"/>
        </w:rPr>
      </w:pPr>
      <w:r>
        <w:rPr>
          <w:rFonts w:ascii="Times New Roman" w:cs="Times New Roman" w:eastAsia="Times New Roman" w:hAnsi="Times New Roman"/>
          <w:sz w:val="18"/>
          <w:szCs w:val="18"/>
          <w:color w:val="auto"/>
        </w:rPr>
        <w:t>Under the terms of the Investment Agreement, GPC Partners has the right to designate one member of the Board (the “Series A Designee”). GPC Partners initially designated Matthew Botein as the Series A Designee, and Mr. Botein was approved by the Board as a Class I director with a term that expired at the 2024 annual general meeting of the Company’s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Mr. Botein was re-elected as a director at the 2024 annual general meeting for a term ending at the 2025 annual general meeting.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Amendment and Revised Terms</w:t>
      </w:r>
    </w:p>
    <w:p>
      <w:pPr>
        <w:spacing w:after="0" w:line="119" w:lineRule="exact"/>
        <w:rPr>
          <w:sz w:val="20"/>
          <w:szCs w:val="20"/>
          <w:color w:val="auto"/>
        </w:rPr>
      </w:pPr>
    </w:p>
    <w:p>
      <w:pPr>
        <w:ind w:right="100" w:firstLine="363"/>
        <w:spacing w:after="0" w:line="254" w:lineRule="auto"/>
        <w:rPr>
          <w:sz w:val="20"/>
          <w:szCs w:val="20"/>
          <w:color w:val="auto"/>
        </w:rPr>
      </w:pPr>
      <w:r>
        <w:rPr>
          <w:rFonts w:ascii="Times New Roman" w:cs="Times New Roman" w:eastAsia="Times New Roman" w:hAnsi="Times New Roman"/>
          <w:sz w:val="18"/>
          <w:szCs w:val="18"/>
          <w:color w:val="auto"/>
        </w:rPr>
        <w:t>On November 11, 2024, the Company amended the Certificate of Designations held by GPC Partners to, among other things, (i) convert $37.5 million of the outstanding Series A Preferred Shares to common stock at a per share price of $6.40 (the “Minimum Price”), (ii) increase the voluntary conversion price from 127.5% to 130% of the Minimum Price, (iv) increase the mandatory conversion price from 130% to 200% of the voluntary conversion price, (v) delay the first date on which the dividend rate re-sets from March 1, 2027 to October 1, 2029, (vi) cap the dividend rate at 8%, (vii) eliminate the adverse development anti-dilution adjustment provision, and (viii) limit transfers of the Series A Preferred Shares without the Company’s consent if, after the transfer, the transferee would hold 9.9% or more of the voting equity of the Company or, in the event of an A.M. Best downgrade of James River Insurance Company below A- (Excellent), 19.9% of the voting equity.</w:t>
      </w:r>
    </w:p>
    <w:p>
      <w:pPr>
        <w:spacing w:after="0" w:line="79" w:lineRule="exact"/>
        <w:rPr>
          <w:sz w:val="20"/>
          <w:szCs w:val="20"/>
          <w:color w:val="auto"/>
        </w:rPr>
      </w:pPr>
    </w:p>
    <w:p>
      <w:pPr>
        <w:ind w:right="220" w:firstLine="363"/>
        <w:spacing w:after="0" w:line="253" w:lineRule="auto"/>
        <w:rPr>
          <w:sz w:val="20"/>
          <w:szCs w:val="20"/>
          <w:color w:val="auto"/>
        </w:rPr>
      </w:pPr>
      <w:r>
        <w:rPr>
          <w:rFonts w:ascii="Times New Roman" w:cs="Times New Roman" w:eastAsia="Times New Roman" w:hAnsi="Times New Roman"/>
          <w:sz w:val="18"/>
          <w:szCs w:val="18"/>
          <w:color w:val="auto"/>
        </w:rPr>
        <w:t>The Company accounted for the amendment as an extinguishment of the pre-amendment Series A Preferred Shares due to the significance of quantitative and qualitative changes to the shares. The Company estimated the fair value of the new Series A Preferred Shares to be $133.1 million on the date of issuance and classified the new Series A Preferred Shares as mezzanine equity. The redemption feature, which could require the Company to repurchase all or a portion of the Series A Preferred Shares at the option of the holder upon the occurrence of certain change of control events, was not impacted by the amendment. The Company recorded a deemed dividend of $25.7 million within retained deficit for the difference between the</w:t>
      </w:r>
    </w:p>
    <w:p>
      <w:pPr>
        <w:spacing w:after="0" w:line="3"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color w:val="auto"/>
        </w:rPr>
        <w:t>$144.9 million carrying value of the extinguished pre-amendment Series A preferred shares and the combined $133.1 million estimated fair value of the new Series A Preferred Shares and $37.5 million of new common shares issued through conversion of Series A Preferred Shares in the amendment.</w:t>
      </w:r>
    </w:p>
    <w:p>
      <w:pPr>
        <w:spacing w:after="0" w:line="51" w:lineRule="exact"/>
        <w:rPr>
          <w:sz w:val="20"/>
          <w:szCs w:val="20"/>
          <w:color w:val="auto"/>
        </w:rPr>
      </w:pPr>
    </w:p>
    <w:p>
      <w:pPr>
        <w:ind w:right="280" w:firstLine="363"/>
        <w:spacing w:after="0" w:line="264" w:lineRule="auto"/>
        <w:rPr>
          <w:sz w:val="20"/>
          <w:szCs w:val="20"/>
          <w:color w:val="auto"/>
        </w:rPr>
      </w:pPr>
      <w:r>
        <w:rPr>
          <w:rFonts w:ascii="Times New Roman" w:cs="Times New Roman" w:eastAsia="Times New Roman" w:hAnsi="Times New Roman"/>
          <w:sz w:val="18"/>
          <w:szCs w:val="18"/>
          <w:color w:val="auto"/>
        </w:rPr>
        <w:t>Cash dividends of $2.3 million were paid on the Series A Preferred Shares in the three months ended December 31, 2024 including a $299,000 stub period dividend on the 37,500 Series A Preferred Shares converted to common shares with the amendment and a $2.0 million dividend on the 112,500 Series A Preferred Shares that remain outstanding post-amendment.</w:t>
      </w:r>
    </w:p>
    <w:p>
      <w:pPr>
        <w:spacing w:after="0" w:line="69" w:lineRule="exact"/>
        <w:rPr>
          <w:sz w:val="20"/>
          <w:szCs w:val="20"/>
          <w:color w:val="auto"/>
        </w:rPr>
      </w:pPr>
    </w:p>
    <w:p>
      <w:pPr>
        <w:ind w:right="120" w:firstLine="363"/>
        <w:spacing w:after="0" w:line="280" w:lineRule="auto"/>
        <w:rPr>
          <w:sz w:val="20"/>
          <w:szCs w:val="20"/>
          <w:color w:val="auto"/>
        </w:rPr>
      </w:pPr>
      <w:r>
        <w:rPr>
          <w:rFonts w:ascii="Times New Roman" w:cs="Times New Roman" w:eastAsia="Times New Roman" w:hAnsi="Times New Roman"/>
          <w:sz w:val="18"/>
          <w:szCs w:val="18"/>
          <w:color w:val="auto"/>
        </w:rPr>
        <w:t>The new Series A Preferred Shares were valued at the time of the amendment using a lattice method commonly applied to value preferred shares. The new Series A Preferred Shares are classified as level 3 in the valuation hierarchy due to the presence of significant unobservable inputs.</w:t>
      </w:r>
    </w:p>
    <w:p>
      <w:pPr>
        <w:spacing w:after="0" w:line="5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119" w:lineRule="exact"/>
        <w:rPr>
          <w:sz w:val="20"/>
          <w:szCs w:val="20"/>
          <w:color w:val="auto"/>
        </w:rPr>
      </w:pPr>
    </w:p>
    <w:p>
      <w:pPr>
        <w:ind w:right="160" w:firstLine="363"/>
        <w:spacing w:after="0" w:line="280" w:lineRule="auto"/>
        <w:rPr>
          <w:sz w:val="20"/>
          <w:szCs w:val="20"/>
          <w:color w:val="auto"/>
        </w:rPr>
      </w:pPr>
      <w:r>
        <w:rPr>
          <w:rFonts w:ascii="Times New Roman" w:cs="Times New Roman" w:eastAsia="Times New Roman" w:hAnsi="Times New Roman"/>
          <w:sz w:val="18"/>
          <w:szCs w:val="18"/>
          <w:color w:val="auto"/>
        </w:rPr>
        <w:t>The Company has 200,000,000 common shares authorized with $0.0002 par value per share. The following table presents a rollforward of changes in common shares issued and outstanding.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980" w:type="dxa"/>
            <w:vAlign w:val="bottom"/>
            <w:gridSpan w:val="3"/>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5"/>
        </w:trPr>
        <w:tc>
          <w:tcPr>
            <w:tcW w:w="82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8"/>
        </w:trPr>
        <w:tc>
          <w:tcPr>
            <w:tcW w:w="8260" w:type="dxa"/>
            <w:vAlign w:val="bottom"/>
          </w:tcPr>
          <w:p>
            <w:pPr>
              <w:spacing w:after="0"/>
              <w:rPr>
                <w:sz w:val="16"/>
                <w:szCs w:val="16"/>
                <w:color w:val="auto"/>
              </w:rPr>
            </w:pPr>
          </w:p>
        </w:tc>
        <w:tc>
          <w:tcPr>
            <w:tcW w:w="14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81"/>
        </w:trPr>
        <w:tc>
          <w:tcPr>
            <w:tcW w:w="82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common shares, beginning of year</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37,641,563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37,470,237</w:t>
            </w:r>
          </w:p>
        </w:tc>
      </w:tr>
      <w:tr>
        <w:trPr>
          <w:trHeight w:val="228"/>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Series A Preferred Shares to common shares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5,859,375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Enstar common share investment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1,953,125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Vesting of RSU awards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190,255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171,326</w:t>
            </w:r>
          </w:p>
        </w:tc>
      </w:tr>
      <w:tr>
        <w:trPr>
          <w:trHeight w:val="24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common shares, end of year</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45,644,318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37,641,563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right="80" w:firstLine="363"/>
        <w:spacing w:after="0" w:line="259" w:lineRule="auto"/>
        <w:rPr>
          <w:sz w:val="20"/>
          <w:szCs w:val="20"/>
          <w:color w:val="auto"/>
        </w:rPr>
      </w:pPr>
      <w:r>
        <w:rPr>
          <w:rFonts w:ascii="Times New Roman" w:cs="Times New Roman" w:eastAsia="Times New Roman" w:hAnsi="Times New Roman"/>
          <w:sz w:val="18"/>
          <w:szCs w:val="18"/>
          <w:color w:val="auto"/>
        </w:rPr>
        <w:t>On November 11, 2024, the Company amended the Certificate of Designations to, among other things, convert 37,500 outstanding Series A Preferred Shares with a liquidation value of $37.5 million to common shares at a per share price of $6.40, resulting in the issuance of 5,859,375 common shares. The difference between the $6.40 share price per the amended Certificate of Designations and the $6.62 closing price of the Company's shares on November 11, 2024 is considered a deemed dividend for accounting purposes, resulting in a $1.3 million charge to retained deficit.</w:t>
      </w:r>
    </w:p>
    <w:p>
      <w:pPr>
        <w:spacing w:after="0" w:line="74" w:lineRule="exact"/>
        <w:rPr>
          <w:sz w:val="20"/>
          <w:szCs w:val="20"/>
          <w:color w:val="auto"/>
        </w:rPr>
      </w:pPr>
    </w:p>
    <w:p>
      <w:pPr>
        <w:ind w:right="240" w:firstLine="323"/>
        <w:spacing w:after="0" w:line="256" w:lineRule="auto"/>
        <w:rPr>
          <w:sz w:val="20"/>
          <w:szCs w:val="20"/>
          <w:color w:val="auto"/>
        </w:rPr>
      </w:pPr>
      <w:r>
        <w:rPr>
          <w:rFonts w:ascii="Times New Roman" w:cs="Times New Roman" w:eastAsia="Times New Roman" w:hAnsi="Times New Roman"/>
          <w:sz w:val="18"/>
          <w:szCs w:val="18"/>
          <w:color w:val="auto"/>
        </w:rPr>
        <w:t>On November 11, 2024, Enstar Group Limited ("Enstar"), through its subsidiary Cavello Bay Reinsurance Limited, entered into a subscription agreement to purchase $12.5 million of the Company’s common shares at a share price of $6.40. The Enstar investment closed on December 23, 2024, resulting in the issuance of 1,953,125 common shares. The difference between the $6.40 share price per the subscription agreement and the $4.66 closing price of the Company's shares on December 23, 2024 is considered a deemed contribution for accounting purposes, resulting in a $3.4 million increase in additional paid-in-capital.</w:t>
      </w:r>
    </w:p>
    <w:p>
      <w:pPr>
        <w:spacing w:after="0" w:line="79" w:lineRule="exact"/>
        <w:rPr>
          <w:sz w:val="20"/>
          <w:szCs w:val="20"/>
          <w:color w:val="auto"/>
        </w:rPr>
      </w:pPr>
    </w:p>
    <w:p>
      <w:pPr>
        <w:ind w:right="360" w:firstLine="363"/>
        <w:spacing w:after="0" w:line="280" w:lineRule="auto"/>
        <w:rPr>
          <w:sz w:val="20"/>
          <w:szCs w:val="20"/>
          <w:color w:val="auto"/>
        </w:rPr>
      </w:pPr>
      <w:r>
        <w:rPr>
          <w:rFonts w:ascii="Times New Roman" w:cs="Times New Roman" w:eastAsia="Times New Roman" w:hAnsi="Times New Roman"/>
          <w:sz w:val="18"/>
          <w:szCs w:val="18"/>
          <w:color w:val="auto"/>
        </w:rPr>
        <w:t>The Company has 5,757,650 common shares reserved for future issuance upon exercise or vesting of equity awards, as applicable, and 13,521,635 common shares reserved for issuance upon conversion of the Series A Preferred Shares.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Board of Directors declared the following cash dividends on common shares in 2024, 2023, and 2022:</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Dividend per</w:t>
            </w:r>
          </w:p>
        </w:tc>
        <w:tc>
          <w:tcPr>
            <w:tcW w:w="120" w:type="dxa"/>
            <w:vAlign w:val="bottom"/>
          </w:tcPr>
          <w:p>
            <w:pPr>
              <w:spacing w:after="0"/>
              <w:rPr>
                <w:sz w:val="17"/>
                <w:szCs w:val="17"/>
                <w:color w:val="auto"/>
              </w:rPr>
            </w:pPr>
          </w:p>
        </w:tc>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Payable to Shareholders</w:t>
            </w:r>
          </w:p>
        </w:tc>
        <w:tc>
          <w:tcPr>
            <w:tcW w:w="22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2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Amount (thousands)</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Declaration</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Share</w:t>
            </w:r>
          </w:p>
        </w:tc>
        <w:tc>
          <w:tcPr>
            <w:tcW w:w="120" w:type="dxa"/>
            <w:vAlign w:val="bottom"/>
          </w:tcPr>
          <w:p>
            <w:pPr>
              <w:spacing w:after="0"/>
              <w:rPr>
                <w:sz w:val="21"/>
                <w:szCs w:val="21"/>
                <w:color w:val="auto"/>
              </w:rPr>
            </w:pPr>
          </w:p>
        </w:tc>
        <w:tc>
          <w:tcPr>
            <w:tcW w:w="22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of Record on</w:t>
            </w:r>
          </w:p>
        </w:tc>
        <w:tc>
          <w:tcPr>
            <w:tcW w:w="2260" w:type="dxa"/>
            <w:vAlign w:val="bottom"/>
            <w:gridSpan w:val="2"/>
            <w:vMerge w:val="continue"/>
          </w:tcPr>
          <w:p>
            <w:pPr>
              <w:spacing w:after="0"/>
              <w:rPr>
                <w:sz w:val="21"/>
                <w:szCs w:val="21"/>
                <w:color w:val="auto"/>
              </w:rPr>
            </w:pPr>
          </w:p>
        </w:tc>
        <w:tc>
          <w:tcPr>
            <w:tcW w:w="2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140" w:type="dxa"/>
            <w:vAlign w:val="bottom"/>
            <w:tcBorders>
              <w:top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2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2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15, 2024</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c>
          <w:tcPr>
            <w:tcW w:w="1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11, 2024</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29, 2024</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25, 2024</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c>
          <w:tcPr>
            <w:tcW w:w="12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10, 2024</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28, 2024</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2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25, 2024</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c>
          <w:tcPr>
            <w:tcW w:w="1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16, 2024</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November 9, 2024</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$0.01</w:t>
            </w:r>
          </w:p>
        </w:tc>
        <w:tc>
          <w:tcPr>
            <w:tcW w:w="12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16, 2024</w:t>
            </w:r>
          </w:p>
        </w:tc>
        <w:tc>
          <w:tcPr>
            <w:tcW w:w="2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gridSpan w:val="3"/>
            <w:vMerge w:val="restart"/>
          </w:tcPr>
          <w:p>
            <w:pPr>
              <w:ind w:left="20"/>
              <w:spacing w:after="0" w:line="175"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140" w:type="dxa"/>
            <w:vAlign w:val="bottom"/>
            <w:gridSpan w:val="3"/>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2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16, 2023</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c>
          <w:tcPr>
            <w:tcW w:w="1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13, 2023</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27, 2023</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c>
          <w:tcPr>
            <w:tcW w:w="12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12, 2023</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2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27, 2023</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c>
          <w:tcPr>
            <w:tcW w:w="1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11, 2023</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29, 2023</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October 26, 2023</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c>
          <w:tcPr>
            <w:tcW w:w="12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11, 2023</w:t>
            </w:r>
          </w:p>
        </w:tc>
        <w:tc>
          <w:tcPr>
            <w:tcW w:w="2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29, 2023</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0" w:type="dxa"/>
            <w:vAlign w:val="bottom"/>
          </w:tcPr>
          <w:p>
            <w:pPr>
              <w:spacing w:after="0"/>
              <w:rPr>
                <w:sz w:val="1"/>
                <w:szCs w:val="1"/>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gridSpan w:val="3"/>
            <w:vMerge w:val="restart"/>
          </w:tcPr>
          <w:p>
            <w:pPr>
              <w:ind w:left="20"/>
              <w:spacing w:after="0" w:line="175"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140" w:type="dxa"/>
            <w:vAlign w:val="bottom"/>
            <w:gridSpan w:val="3"/>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2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16, 2022</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c>
          <w:tcPr>
            <w:tcW w:w="1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14, 2022</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28, 2022</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c>
          <w:tcPr>
            <w:tcW w:w="12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13, 2022</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2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26, 2022</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c>
          <w:tcPr>
            <w:tcW w:w="1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12, 2022</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October 25, 2022</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c>
          <w:tcPr>
            <w:tcW w:w="12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12, 2022</w:t>
            </w:r>
          </w:p>
        </w:tc>
        <w:tc>
          <w:tcPr>
            <w:tcW w:w="2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30, 2022</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right="280" w:firstLine="363"/>
        <w:spacing w:after="0" w:line="280" w:lineRule="auto"/>
        <w:rPr>
          <w:sz w:val="20"/>
          <w:szCs w:val="20"/>
          <w:color w:val="auto"/>
        </w:rPr>
      </w:pPr>
      <w:r>
        <w:rPr>
          <w:rFonts w:ascii="Times New Roman" w:cs="Times New Roman" w:eastAsia="Times New Roman" w:hAnsi="Times New Roman"/>
          <w:sz w:val="18"/>
          <w:szCs w:val="18"/>
          <w:color w:val="auto"/>
        </w:rPr>
        <w:t>Included in the dividends are $152,000, $159,000 and $141,000 of dividend equivalents on RSUs, of which $252,000, $255,000 and $335,000 were payable as of December 31, 2024, 2023, and 2022, respectively.</w:t>
      </w:r>
    </w:p>
    <w:p>
      <w:pPr>
        <w:spacing w:after="0" w:line="5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Equity Awards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117" w:lineRule="exact"/>
        <w:rPr>
          <w:sz w:val="20"/>
          <w:szCs w:val="20"/>
          <w:color w:val="auto"/>
        </w:rPr>
      </w:pPr>
    </w:p>
    <w:p>
      <w:pPr>
        <w:jc w:val="both"/>
        <w:ind w:right="140" w:firstLine="323"/>
        <w:spacing w:after="0" w:line="264" w:lineRule="auto"/>
        <w:rPr>
          <w:sz w:val="20"/>
          <w:szCs w:val="20"/>
          <w:color w:val="auto"/>
        </w:rPr>
      </w:pPr>
      <w:r>
        <w:rPr>
          <w:rFonts w:ascii="Times New Roman" w:cs="Times New Roman" w:eastAsia="Times New Roman" w:hAnsi="Times New Roman"/>
          <w:sz w:val="18"/>
          <w:szCs w:val="18"/>
          <w:color w:val="auto"/>
        </w:rPr>
        <w:t>The Company’s shareholders have approved various equity incentive plans, including the 2014 Long Term Incentive Plan (“2014 LTIP”) and the 2014 Non-Employee Director Incentive Plan (“2014 Director Plan”) (collectively, the “Plans”). All awards issued under the Plans are issued at the discretion of the Board of Directors.</w:t>
      </w:r>
    </w:p>
    <w:p>
      <w:pPr>
        <w:spacing w:after="0" w:line="69" w:lineRule="exact"/>
        <w:rPr>
          <w:sz w:val="20"/>
          <w:szCs w:val="20"/>
          <w:color w:val="auto"/>
        </w:rPr>
      </w:pPr>
    </w:p>
    <w:p>
      <w:pPr>
        <w:ind w:right="100" w:firstLine="363"/>
        <w:spacing w:after="0" w:line="259" w:lineRule="auto"/>
        <w:rPr>
          <w:sz w:val="20"/>
          <w:szCs w:val="20"/>
          <w:color w:val="auto"/>
        </w:rPr>
      </w:pPr>
      <w:r>
        <w:rPr>
          <w:rFonts w:ascii="Times New Roman" w:cs="Times New Roman" w:eastAsia="Times New Roman" w:hAnsi="Times New Roman"/>
          <w:sz w:val="18"/>
          <w:szCs w:val="18"/>
          <w:color w:val="auto"/>
        </w:rPr>
        <w:t>Employees are eligible to receive non-qualified stock options, incentive stock options, share appreciation rights, performance shares, restricted shares, RSUs, and other awards under the 2014 LTIP. The 2014 LTIP was amended on October 24, 2024, increasing the number of shares available for issuance under the 2014 LTIP by 525,000 shares. Following the amendment, the maximum number of shares available for issuance under the 2014 LTIP is 5,507,650, and at December 31, 2024, 1,716,316 shares are available for grant.</w:t>
      </w:r>
    </w:p>
    <w:p>
      <w:pPr>
        <w:spacing w:after="0" w:line="74"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On July 26, 2022, the Board of Directors of the Company approved a new long-term incentive plan (the “LTI Plan”) under the 2014 LTIP. The LTI Plan is designed to align compensation of designated senior officers of the Company with Company performance and shareholder interests over the long-term. Awards under the LTI Plan are made in the form of performance restricted share units (a “PRSU”) and service based restricted share units (RSUs).</w:t>
      </w:r>
    </w:p>
    <w:p>
      <w:pPr>
        <w:spacing w:after="0" w:line="69" w:lineRule="exact"/>
        <w:rPr>
          <w:sz w:val="20"/>
          <w:szCs w:val="20"/>
          <w:color w:val="auto"/>
        </w:rPr>
      </w:pPr>
    </w:p>
    <w:p>
      <w:pPr>
        <w:ind w:right="40" w:firstLine="363"/>
        <w:spacing w:after="0" w:line="259" w:lineRule="auto"/>
        <w:rPr>
          <w:sz w:val="20"/>
          <w:szCs w:val="20"/>
          <w:color w:val="auto"/>
        </w:rPr>
      </w:pPr>
      <w:r>
        <w:rPr>
          <w:rFonts w:ascii="Times New Roman" w:cs="Times New Roman" w:eastAsia="Times New Roman" w:hAnsi="Times New Roman"/>
          <w:sz w:val="18"/>
          <w:szCs w:val="18"/>
          <w:color w:val="auto"/>
        </w:rPr>
        <w:t>Each PRSU represents a contingent right to receive one Company common share based upon the level of achievement of certain performance metrics during the performance period, with payout for achievement of threshold, target and maximum performance levels set at 50%, 100% and 200% of the target number of PRSUs, respectively. The PRSUs awarded in the first quarter of 2023 have a performance period of January 1, 2023 through December 31, 2025. The PRSUs awarded in the first quarter of 2024 have a performance period of January 1, 2024 through December 31, 2026.</w:t>
      </w:r>
    </w:p>
    <w:p>
      <w:pPr>
        <w:spacing w:after="0" w:line="74" w:lineRule="exact"/>
        <w:rPr>
          <w:sz w:val="20"/>
          <w:szCs w:val="20"/>
          <w:color w:val="auto"/>
        </w:rPr>
      </w:pPr>
    </w:p>
    <w:p>
      <w:pPr>
        <w:jc w:val="both"/>
        <w:ind w:right="160" w:firstLine="363"/>
        <w:spacing w:after="0" w:line="264" w:lineRule="auto"/>
        <w:rPr>
          <w:sz w:val="20"/>
          <w:szCs w:val="20"/>
          <w:color w:val="auto"/>
        </w:rPr>
      </w:pPr>
      <w:r>
        <w:rPr>
          <w:rFonts w:ascii="Times New Roman" w:cs="Times New Roman" w:eastAsia="Times New Roman" w:hAnsi="Times New Roman"/>
          <w:sz w:val="18"/>
          <w:szCs w:val="18"/>
          <w:color w:val="auto"/>
        </w:rPr>
        <w:t>Non-employee directors of the Company are eligible to receive non-qualified stock options, share appreciation rights, performance shares, restricted shares, RSUs, and other awards under the 2014 Director Plan. The 2014 Director Plan was amended on October 24, 2024, increasing the number of shares available for issuance under the 2014 LTIP by 100,000 shares.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color w:val="auto"/>
        </w:rPr>
        <w:t>Following the amendment, the maximum number of shares available for issuance under the 2014 Director Plan is 250,000, and at December 31, 2024, 131,927 shares are available for grant.</w:t>
      </w:r>
    </w:p>
    <w:p>
      <w:pPr>
        <w:spacing w:after="0" w:line="55" w:lineRule="exact"/>
        <w:rPr>
          <w:sz w:val="20"/>
          <w:szCs w:val="20"/>
          <w:color w:val="auto"/>
        </w:rPr>
      </w:pPr>
    </w:p>
    <w:p>
      <w:pPr>
        <w:ind w:right="140" w:firstLine="363"/>
        <w:spacing w:after="0" w:line="264" w:lineRule="auto"/>
        <w:rPr>
          <w:sz w:val="20"/>
          <w:szCs w:val="20"/>
          <w:color w:val="auto"/>
        </w:rPr>
      </w:pPr>
      <w:r>
        <w:rPr>
          <w:rFonts w:ascii="Times New Roman" w:cs="Times New Roman" w:eastAsia="Times New Roman" w:hAnsi="Times New Roman"/>
          <w:sz w:val="18"/>
          <w:szCs w:val="18"/>
          <w:color w:val="auto"/>
        </w:rPr>
        <w:t>Generally, awards issued under the 2014 LTIP and 2014 Director Plan vest immediately in the event that an award recipient is terminated without Cause (as defined), and in the case of the 2014 LTIP for Good Reason (as defined), at any time following a Change in Control (as defined in the applicable plans).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option activity: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840" w:type="dxa"/>
            <w:vAlign w:val="bottom"/>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2840" w:type="dxa"/>
            <w:vAlign w:val="bottom"/>
          </w:tcPr>
          <w:p>
            <w:pPr>
              <w:spacing w:after="0"/>
              <w:rPr>
                <w:sz w:val="11"/>
                <w:szCs w:val="11"/>
                <w:color w:val="auto"/>
              </w:rPr>
            </w:pPr>
          </w:p>
        </w:tc>
        <w:tc>
          <w:tcPr>
            <w:tcW w:w="13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5"/>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84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74,390</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287,974</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287,974</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0" w:type="dxa"/>
            <w:vAlign w:val="bottom"/>
          </w:tcPr>
          <w:p>
            <w:pPr>
              <w:spacing w:after="0"/>
              <w:rPr>
                <w:sz w:val="1"/>
                <w:szCs w:val="1"/>
                <w:color w:val="auto"/>
              </w:rPr>
            </w:pPr>
          </w:p>
        </w:tc>
      </w:tr>
      <w:tr>
        <w:trPr>
          <w:trHeight w:val="228"/>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Lapsed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(164,548)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(49,036)</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287,974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end of year</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287,974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firstLine="363"/>
        <w:spacing w:after="0" w:line="256" w:lineRule="auto"/>
        <w:rPr>
          <w:sz w:val="20"/>
          <w:szCs w:val="20"/>
          <w:color w:val="auto"/>
        </w:rPr>
      </w:pPr>
      <w:r>
        <w:rPr>
          <w:rFonts w:ascii="Times New Roman" w:cs="Times New Roman" w:eastAsia="Times New Roman" w:hAnsi="Times New Roman"/>
          <w:sz w:val="18"/>
          <w:szCs w:val="18"/>
          <w:color w:val="auto"/>
        </w:rPr>
        <w:t>There were no options granted in 2024, 2023, or 2022. The value of the options granted prior to 2022 was estimated at the date of grant using the Black-Scholes-Merton option pricing model. The options outstanding at December 31, 2023 lapsed in the year ended December 31, 2024. At December 31, 2024, no options remain outstanding. The options outstanding at December 31, 2023 and 2022 were fully vested (vesting period of three years from date of grant) and had a contractual life of seven years from the original date of grant. All options had an exercise price equal to the fair value of the underlying shares at the date of grant.</w:t>
      </w:r>
    </w:p>
    <w:p>
      <w:pPr>
        <w:spacing w:after="0" w:line="79" w:lineRule="exact"/>
        <w:rPr>
          <w:sz w:val="20"/>
          <w:szCs w:val="20"/>
          <w:color w:val="auto"/>
        </w:rPr>
      </w:pPr>
    </w:p>
    <w:p>
      <w:pPr>
        <w:jc w:val="both"/>
        <w:ind w:right="100" w:firstLine="363"/>
        <w:spacing w:after="0" w:line="287" w:lineRule="auto"/>
        <w:rPr>
          <w:sz w:val="20"/>
          <w:szCs w:val="20"/>
          <w:color w:val="auto"/>
        </w:rPr>
      </w:pPr>
      <w:r>
        <w:rPr>
          <w:rFonts w:ascii="Times New Roman" w:cs="Times New Roman" w:eastAsia="Times New Roman" w:hAnsi="Times New Roman"/>
          <w:sz w:val="17"/>
          <w:szCs w:val="17"/>
          <w:color w:val="auto"/>
        </w:rPr>
        <w:t>The intrinsic value of each option was determined based on the difference between the fair value of the underlying share and the exercise price of the underlying option. No options were exercised during 2024, 2023 or 2022. The aggregate intrinsic value of options outstanding and options exercisable was $0 at December 31, 2023 and 2022. The fair value used for calculating intrinsic values was $9.24 and $20.91 at December 31, 2023 and 2022, respectively.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RSU activity: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84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8"/>
              <w:spacing w:after="0" w:line="135"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8"/>
              <w:spacing w:after="0" w:line="135"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8"/>
              <w:spacing w:after="0" w:line="135"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37"/>
        </w:trPr>
        <w:tc>
          <w:tcPr>
            <w:tcW w:w="2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30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0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0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18"/>
              <w:spacing w:after="0" w:line="14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5"/>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Unvested, beginning of year</w:t>
            </w: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840" w:type="dxa"/>
            <w:vAlign w:val="bottom"/>
            <w:vMerge w:val="continue"/>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751,254</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665,458</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292,135</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0" w:type="dxa"/>
            <w:vAlign w:val="bottom"/>
          </w:tcPr>
          <w:p>
            <w:pPr>
              <w:spacing w:after="0"/>
              <w:rPr>
                <w:sz w:val="1"/>
                <w:szCs w:val="1"/>
                <w:color w:val="auto"/>
              </w:rPr>
            </w:pPr>
          </w:p>
        </w:tc>
      </w:tr>
      <w:tr>
        <w:trPr>
          <w:trHeight w:val="228"/>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541,520</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388,517</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560,680</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0" w:type="dxa"/>
            <w:vAlign w:val="bottom"/>
          </w:tcPr>
          <w:p>
            <w:pPr>
              <w:spacing w:after="0"/>
              <w:rPr>
                <w:sz w:val="1"/>
                <w:szCs w:val="1"/>
                <w:color w:val="auto"/>
              </w:rPr>
            </w:pPr>
          </w:p>
        </w:tc>
      </w:tr>
      <w:tr>
        <w:trPr>
          <w:trHeight w:val="228"/>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(276,428)</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(250,793)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(147,530)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0" w:type="dxa"/>
            <w:vAlign w:val="bottom"/>
          </w:tcPr>
          <w:p>
            <w:pPr>
              <w:spacing w:after="0"/>
              <w:rPr>
                <w:sz w:val="1"/>
                <w:szCs w:val="1"/>
                <w:color w:val="auto"/>
              </w:rPr>
            </w:pPr>
          </w:p>
        </w:tc>
      </w:tr>
      <w:tr>
        <w:trPr>
          <w:trHeight w:val="228"/>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(101,494)</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(51,928)</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(39,827)</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28"/>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PRSU performance adjustment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(29,679)</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end of year</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885,173</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751,254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665,458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Outstanding RSUs granted to employees generally vest ratably over a three year vesting period. RSUs granted to non-employee directors generally have a one year vesting period. The total fair value of shares vested in 2024, 2023 and 2022 was $2.7 million, $5.6 million and $3.8 million, respectively. The holders of RSUs are entitled to dividend equivalents.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83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dividend equivalents are settled in cash at the same time that the underlying RSUs vest and are subject to the same risk of forfeiture as the underlying shares. The fair value of the RSUs granted is based on the market price of the underlying shares at the date of grant. The RSUs granted in 2024 and 2023 include 231,492 and 91,818 PRSU awards, respectively. Initial PRSU awards are granted at the 100% target performance level. The Company projects the level of achievement for each award during the performance period and periodically adjusts the number of outstanding awards to reflect the number of awards expected to vest. In 2024, a downward performance adjustment was made to the outstanding PRSUs granted in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Expense</w:t>
      </w:r>
    </w:p>
    <w:p>
      <w:pPr>
        <w:spacing w:after="0" w:line="117" w:lineRule="exact"/>
        <w:rPr>
          <w:sz w:val="20"/>
          <w:szCs w:val="20"/>
          <w:color w:val="auto"/>
        </w:rPr>
      </w:pPr>
    </w:p>
    <w:p>
      <w:pPr>
        <w:ind w:right="440" w:firstLine="363"/>
        <w:spacing w:after="0" w:line="280" w:lineRule="auto"/>
        <w:rPr>
          <w:sz w:val="20"/>
          <w:szCs w:val="20"/>
          <w:color w:val="auto"/>
        </w:rPr>
      </w:pPr>
      <w:r>
        <w:rPr>
          <w:rFonts w:ascii="Times New Roman" w:cs="Times New Roman" w:eastAsia="Times New Roman" w:hAnsi="Times New Roman"/>
          <w:sz w:val="18"/>
          <w:szCs w:val="18"/>
          <w:color w:val="auto"/>
        </w:rPr>
        <w:t>Share based compensation expense is recognized on a straight-line basis over the vesting period. The amount of expense and related tax benefit is summarized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3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9,116</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w:t>
            </w: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tax benefit on share based compensation expense</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1,690</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r>
    </w:tbl>
    <w:p>
      <w:pPr>
        <w:spacing w:after="0" w:line="178" w:lineRule="exact"/>
        <w:rPr>
          <w:sz w:val="20"/>
          <w:szCs w:val="20"/>
          <w:color w:val="auto"/>
        </w:rPr>
      </w:pPr>
    </w:p>
    <w:p>
      <w:pPr>
        <w:ind w:right="20" w:firstLine="363"/>
        <w:spacing w:after="0" w:line="264" w:lineRule="auto"/>
        <w:rPr>
          <w:sz w:val="20"/>
          <w:szCs w:val="20"/>
          <w:color w:val="auto"/>
        </w:rPr>
      </w:pPr>
      <w:r>
        <w:rPr>
          <w:rFonts w:ascii="Times New Roman" w:cs="Times New Roman" w:eastAsia="Times New Roman" w:hAnsi="Times New Roman"/>
          <w:sz w:val="18"/>
          <w:szCs w:val="18"/>
          <w:color w:val="auto"/>
        </w:rPr>
        <w:t>Compensation cost for PRSUs is based upon the probable outcome of performance conditions. In 2024, the Company adjusted the probable outcome of performance conditions for the 2023 PRSUs which resulted in a cumulative adjustment to reduce the compensation expense recognized for the awards of $451,000.</w:t>
      </w:r>
    </w:p>
    <w:p>
      <w:pPr>
        <w:spacing w:after="0" w:line="69" w:lineRule="exact"/>
        <w:rPr>
          <w:sz w:val="20"/>
          <w:szCs w:val="20"/>
          <w:color w:val="auto"/>
        </w:rPr>
      </w:pPr>
    </w:p>
    <w:p>
      <w:pPr>
        <w:ind w:right="220" w:firstLine="363"/>
        <w:spacing w:after="0" w:line="280" w:lineRule="auto"/>
        <w:rPr>
          <w:sz w:val="20"/>
          <w:szCs w:val="20"/>
          <w:color w:val="auto"/>
        </w:rPr>
      </w:pPr>
      <w:r>
        <w:rPr>
          <w:rFonts w:ascii="Times New Roman" w:cs="Times New Roman" w:eastAsia="Times New Roman" w:hAnsi="Times New Roman"/>
          <w:sz w:val="18"/>
          <w:szCs w:val="18"/>
          <w:color w:val="auto"/>
        </w:rPr>
        <w:t>At December 31, 2024, the Company had $6.3 million of unrecognized share based compensation expense expected to be charged to earnings over a weighted-average period of 1.6 years.</w:t>
      </w:r>
    </w:p>
    <w:p>
      <w:pPr>
        <w:spacing w:after="0" w:line="5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19" w:lineRule="exact"/>
        <w:rPr>
          <w:sz w:val="20"/>
          <w:szCs w:val="20"/>
          <w:color w:val="auto"/>
        </w:rPr>
      </w:pPr>
    </w:p>
    <w:p>
      <w:pPr>
        <w:ind w:right="440" w:firstLine="363"/>
        <w:spacing w:after="0" w:line="313" w:lineRule="auto"/>
        <w:rPr>
          <w:sz w:val="20"/>
          <w:szCs w:val="20"/>
          <w:color w:val="auto"/>
        </w:rPr>
      </w:pPr>
      <w:r>
        <w:rPr>
          <w:rFonts w:ascii="Times New Roman" w:cs="Times New Roman" w:eastAsia="Times New Roman" w:hAnsi="Times New Roman"/>
          <w:sz w:val="17"/>
          <w:szCs w:val="17"/>
          <w:color w:val="auto"/>
        </w:rPr>
        <w:t>Currently, James River Group Holdings, Ltd. is not (and its former Bermuda-based subsidiary, JRG Re, prior to its disposition was not) subject to income or capital tax. The Companies have obtained from the Bermuda Minister of Finance an assurance that, in the event Bermuda enacts legislation</w:t>
      </w:r>
    </w:p>
    <w:p>
      <w:pPr>
        <w:spacing w:after="0" w:line="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imposing tax, the imposition of any such tax shall not be applicable to the Company until March 31, 2035 (the “EUTP Act”). Effective for tax years beginning on or after January 1, 2025, Bermuda has introduced the Corporate Income Tax Act 2023 ("CIT Act") where a Bermuda Constituent Entity group (BCE) that is part of an “in scope Multi-National Enterprise group” (MNE) will be subject to a 15% corporate income tax. The CIT Act supersedes the assurance received from the Bermuda Minister of Finance under the EUTP Act.</w:t>
      </w:r>
    </w:p>
    <w:p>
      <w:pPr>
        <w:spacing w:after="0" w:line="114" w:lineRule="exact"/>
        <w:rPr>
          <w:sz w:val="20"/>
          <w:szCs w:val="20"/>
          <w:color w:val="auto"/>
        </w:rPr>
      </w:pPr>
    </w:p>
    <w:p>
      <w:pPr>
        <w:ind w:right="140" w:firstLine="363"/>
        <w:spacing w:after="0" w:line="272" w:lineRule="auto"/>
        <w:rPr>
          <w:sz w:val="20"/>
          <w:szCs w:val="20"/>
          <w:color w:val="auto"/>
        </w:rPr>
      </w:pPr>
      <w:r>
        <w:rPr>
          <w:rFonts w:ascii="Times New Roman" w:cs="Times New Roman" w:eastAsia="Times New Roman" w:hAnsi="Times New Roman"/>
          <w:sz w:val="18"/>
          <w:szCs w:val="18"/>
          <w:color w:val="auto"/>
        </w:rPr>
        <w:t>A MNE group with a limited international footprint is not an in scope MNE, thus not subject to CIT. The limited international footprint exception is a year-by-year test and expires after tax year 2029. James River Group Holdings, Ltd. is expected to meet the criteria of the limited international footprint exception, and as such is not expected to be subject to tax under the CIT act.</w:t>
      </w:r>
    </w:p>
    <w:p>
      <w:pPr>
        <w:spacing w:after="0" w:line="62" w:lineRule="exact"/>
        <w:rPr>
          <w:sz w:val="20"/>
          <w:szCs w:val="20"/>
          <w:color w:val="auto"/>
        </w:rPr>
      </w:pPr>
    </w:p>
    <w:p>
      <w:pPr>
        <w:ind w:right="40" w:firstLine="363"/>
        <w:spacing w:after="0" w:line="280" w:lineRule="auto"/>
        <w:rPr>
          <w:sz w:val="20"/>
          <w:szCs w:val="20"/>
          <w:color w:val="auto"/>
        </w:rPr>
      </w:pPr>
      <w:r>
        <w:rPr>
          <w:rFonts w:ascii="Times New Roman" w:cs="Times New Roman" w:eastAsia="Times New Roman" w:hAnsi="Times New Roman"/>
          <w:sz w:val="18"/>
          <w:szCs w:val="18"/>
          <w:color w:val="auto"/>
        </w:rPr>
        <w:t>Distributions from the Company’s U.S. subsidiaries to its U.K. intermediate holding company, James River UK, are generally subject to a 5% dividend withholding tax. No distributions occurred in 2024, 2023 or 2022.</w:t>
      </w:r>
    </w:p>
    <w:p>
      <w:pPr>
        <w:spacing w:after="0" w:line="55" w:lineRule="exact"/>
        <w:rPr>
          <w:sz w:val="20"/>
          <w:szCs w:val="20"/>
          <w:color w:val="auto"/>
        </w:rPr>
      </w:pPr>
    </w:p>
    <w:p>
      <w:pPr>
        <w:ind w:right="300" w:firstLine="363"/>
        <w:spacing w:after="0" w:line="280" w:lineRule="auto"/>
        <w:rPr>
          <w:sz w:val="20"/>
          <w:szCs w:val="20"/>
          <w:color w:val="auto"/>
        </w:rPr>
      </w:pPr>
      <w:r>
        <w:rPr>
          <w:rFonts w:ascii="Times New Roman" w:cs="Times New Roman" w:eastAsia="Times New Roman" w:hAnsi="Times New Roman"/>
          <w:sz w:val="18"/>
          <w:szCs w:val="18"/>
          <w:color w:val="auto"/>
        </w:rPr>
        <w:t>The Company’s U.S. subsidiaries are subject to federal, state and local corporate income taxes, and other taxes applicable to U.S. corporations. The Company’s U.S.-domiciled subsidiaries file a consolidated U.S. federal income tax return.</w:t>
      </w:r>
    </w:p>
    <w:p>
      <w:pPr>
        <w:spacing w:after="0" w:line="55" w:lineRule="exact"/>
        <w:rPr>
          <w:sz w:val="20"/>
          <w:szCs w:val="20"/>
          <w:color w:val="auto"/>
        </w:rPr>
      </w:pPr>
    </w:p>
    <w:p>
      <w:pPr>
        <w:ind w:right="420" w:firstLine="323"/>
        <w:spacing w:after="0" w:line="280" w:lineRule="auto"/>
        <w:rPr>
          <w:sz w:val="20"/>
          <w:szCs w:val="20"/>
          <w:color w:val="auto"/>
        </w:rPr>
      </w:pPr>
      <w:r>
        <w:rPr>
          <w:rFonts w:ascii="Times New Roman" w:cs="Times New Roman" w:eastAsia="Times New Roman" w:hAnsi="Times New Roman"/>
          <w:sz w:val="18"/>
          <w:szCs w:val="18"/>
          <w:color w:val="auto"/>
        </w:rPr>
        <w:t>The Company’s U.S.-based subsidiaries are generally no longer subject to income tax examination by U.S. income tax authorities for the tax years ending before January 1, 2021.</w:t>
      </w:r>
    </w:p>
    <w:p>
      <w:pPr>
        <w:spacing w:after="0" w:line="55" w:lineRule="exact"/>
        <w:rPr>
          <w:sz w:val="20"/>
          <w:szCs w:val="20"/>
          <w:color w:val="auto"/>
        </w:rPr>
      </w:pPr>
    </w:p>
    <w:p>
      <w:pPr>
        <w:ind w:right="240" w:firstLine="363"/>
        <w:spacing w:after="0" w:line="273" w:lineRule="auto"/>
        <w:rPr>
          <w:sz w:val="20"/>
          <w:szCs w:val="20"/>
          <w:color w:val="auto"/>
        </w:rPr>
      </w:pPr>
      <w:r>
        <w:rPr>
          <w:rFonts w:ascii="Times New Roman" w:cs="Times New Roman" w:eastAsia="Times New Roman" w:hAnsi="Times New Roman"/>
          <w:sz w:val="17"/>
          <w:szCs w:val="17"/>
          <w:color w:val="auto"/>
        </w:rPr>
        <w:t>During 2018, the IRS published factors that allowed the Company to adjust its current and deferred tax liabilities based on the provisions of the Tax Act. The Tax Act has specific transition provisions associated with reserve discounting. The initial impact of the proposed regulations in 2018 was an increase to our deferred tax asset for the additional discount as of December 31, 2017 of $8.8 million offset by an increase to our deferred tax liability of $8.8 million representing the 8 year transition provision required by the Tax Act. During 2018, $1.1 million of this transition provision was recognized in our current provision and adjusted out of our deferred tax liability. The regulations were finalized in 2019, and the remaining reserve adjustment at December 31, 2019 based on these final regulations was $5.7 million to be recognized over the six years 2020 - 2025 at $950,000 per year.</w:t>
      </w:r>
    </w:p>
    <w:p>
      <w:pPr>
        <w:spacing w:after="0" w:line="63" w:lineRule="exact"/>
        <w:rPr>
          <w:sz w:val="20"/>
          <w:szCs w:val="20"/>
          <w:color w:val="auto"/>
        </w:rPr>
      </w:pPr>
    </w:p>
    <w:p>
      <w:pPr>
        <w:ind w:right="500" w:firstLine="363"/>
        <w:spacing w:after="0" w:line="280" w:lineRule="auto"/>
        <w:rPr>
          <w:sz w:val="20"/>
          <w:szCs w:val="20"/>
          <w:color w:val="auto"/>
        </w:rPr>
      </w:pPr>
      <w:r>
        <w:rPr>
          <w:rFonts w:ascii="Times New Roman" w:cs="Times New Roman" w:eastAsia="Times New Roman" w:hAnsi="Times New Roman"/>
          <w:sz w:val="18"/>
          <w:szCs w:val="18"/>
          <w:color w:val="auto"/>
        </w:rPr>
        <w:t>The expected income tax provision computed from pre-tax income at the weighted-average tax rate has been calculated as the sum of the pre-tax income in each jurisdiction multiplied by that jurisdiction’s applicable Federal statutory tax rate. Federal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statutory tax rates of 0% and 21% have been used in 2024, 2023 and 2022 for Bermuda and the U.S., respectively. The U.S. income (loss) before Federal income taxes was $(40.0) million, $119.9 million, and $85.9 million for the years ending December 31, 2024, 2023, and 2022, respectively. The Tax Act base-erosion and anti-abuse tax (“BEAT”) provisions impose a minimum tax on applicable taxpayers that make certain payments to related foreign persons. BEAT subjects the modified taxable income of an applicable taxpayer to a specified tax rate (10% in 2024). Modified taxable income is generally calculated by adding back certain payments to related foreign persons to regular taxable income. A reconciliation of the difference between the Company’s Federal income tax provision on U.S. income and the expected Federal tax provision on U.S. income using the weighted-average tax rate as well as a reconciliation to total tax expense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6"/>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5"/>
        </w:trPr>
        <w:tc>
          <w:tcPr>
            <w:tcW w:w="7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0"/>
        </w:trPr>
        <w:tc>
          <w:tcPr>
            <w:tcW w:w="7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income tax expense (benefit) at applicable statutory rates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25,175</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18,041</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Tax-exempt investment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received deduction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tax expense (benefits) on share based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to return and amended tax returns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§162(m)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8"/>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expense (benefit)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18,414</w:t>
            </w:r>
          </w:p>
        </w:tc>
      </w:tr>
      <w:tr>
        <w:trPr>
          <w:trHeight w:val="228"/>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state income tax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18,414</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340" w:firstLine="363"/>
        <w:spacing w:after="0" w:line="280" w:lineRule="auto"/>
        <w:rPr>
          <w:sz w:val="20"/>
          <w:szCs w:val="20"/>
          <w:color w:val="auto"/>
        </w:rPr>
      </w:pPr>
      <w:r>
        <w:rPr>
          <w:rFonts w:ascii="Times New Roman" w:cs="Times New Roman" w:eastAsia="Times New Roman" w:hAnsi="Times New Roman"/>
          <w:sz w:val="18"/>
          <w:szCs w:val="18"/>
          <w:color w:val="auto"/>
        </w:rPr>
        <w:t>The significant components of net deferred tax assets at the corporate income tax rate of 21% for the years ended December 31, 2024 and 2023 are summarized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5"/>
        </w:trPr>
        <w:tc>
          <w:tcPr>
            <w:tcW w:w="8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8"/>
        </w:trPr>
        <w:tc>
          <w:tcPr>
            <w:tcW w:w="8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80" w:type="dxa"/>
            <w:vAlign w:val="bottom"/>
          </w:tcPr>
          <w:p>
            <w:pPr>
              <w:spacing w:after="0"/>
              <w:rPr>
                <w:sz w:val="17"/>
                <w:szCs w:val="17"/>
                <w:color w:val="auto"/>
              </w:rPr>
            </w:pPr>
          </w:p>
        </w:tc>
      </w:tr>
      <w:tr>
        <w:trPr>
          <w:trHeight w:val="23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8"/>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r>
      <w:tr>
        <w:trPr>
          <w:trHeight w:val="228"/>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27,260</w:t>
            </w:r>
          </w:p>
        </w:tc>
      </w:tr>
      <w:tr>
        <w:trPr>
          <w:trHeight w:val="228"/>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12,484</w:t>
            </w:r>
          </w:p>
        </w:tc>
      </w:tr>
      <w:tr>
        <w:trPr>
          <w:trHeight w:val="228"/>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based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28"/>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w:t>
            </w:r>
          </w:p>
        </w:tc>
      </w:tr>
      <w:tr>
        <w:trPr>
          <w:trHeight w:val="228"/>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invested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28"/>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unrealized losses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16,613</w:t>
            </w:r>
          </w:p>
        </w:tc>
      </w:tr>
      <w:tr>
        <w:trPr>
          <w:trHeight w:val="228"/>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r>
      <w:tr>
        <w:trPr>
          <w:trHeight w:val="222"/>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69,427</w:t>
            </w:r>
          </w:p>
        </w:tc>
      </w:tr>
      <w:tr>
        <w:trPr>
          <w:trHeight w:val="22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8"/>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w:t>
            </w:r>
          </w:p>
        </w:tc>
      </w:tr>
      <w:tr>
        <w:trPr>
          <w:trHeight w:val="228"/>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w:t>
            </w:r>
          </w:p>
        </w:tc>
      </w:tr>
      <w:tr>
        <w:trPr>
          <w:trHeight w:val="228"/>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w:t>
            </w:r>
          </w:p>
        </w:tc>
      </w:tr>
      <w:tr>
        <w:trPr>
          <w:trHeight w:val="228"/>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w:t>
            </w:r>
          </w:p>
        </w:tc>
      </w:tr>
      <w:tr>
        <w:trPr>
          <w:trHeight w:val="22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21,130</w:t>
            </w:r>
          </w:p>
        </w:tc>
      </w:tr>
      <w:tr>
        <w:trPr>
          <w:trHeight w:val="247"/>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780" w:firstLine="363"/>
        <w:spacing w:after="0" w:line="280" w:lineRule="auto"/>
        <w:rPr>
          <w:sz w:val="20"/>
          <w:szCs w:val="20"/>
          <w:color w:val="auto"/>
        </w:rPr>
      </w:pPr>
      <w:r>
        <w:rPr>
          <w:rFonts w:ascii="Times New Roman" w:cs="Times New Roman" w:eastAsia="Times New Roman" w:hAnsi="Times New Roman"/>
          <w:sz w:val="18"/>
          <w:szCs w:val="18"/>
          <w:color w:val="auto"/>
        </w:rPr>
        <w:t>Deferred income taxes have not been accrued with respect to certain undistributed earnings of foreign subsidiaries. If the earnings were to be distributed, as dividends or otherwise, such amounts may be subject to withholding taxation in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of the paying entity. The Company asserts that U.S. unremitted earnings as of December 31, 2024 will be permanently reinvested in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accordingly, no provision for withholding taxes arising in respect to U.S. unremitted earnings has been made.</w:t>
      </w:r>
    </w:p>
    <w:p>
      <w:pPr>
        <w:spacing w:after="0" w:line="97" w:lineRule="exact"/>
        <w:rPr>
          <w:sz w:val="20"/>
          <w:szCs w:val="20"/>
          <w:color w:val="auto"/>
        </w:rPr>
      </w:pPr>
    </w:p>
    <w:p>
      <w:pPr>
        <w:ind w:right="20" w:firstLine="363"/>
        <w:spacing w:after="0" w:line="264" w:lineRule="auto"/>
        <w:rPr>
          <w:sz w:val="20"/>
          <w:szCs w:val="20"/>
          <w:color w:val="auto"/>
        </w:rPr>
      </w:pPr>
      <w:r>
        <w:rPr>
          <w:rFonts w:ascii="Times New Roman" w:cs="Times New Roman" w:eastAsia="Times New Roman" w:hAnsi="Times New Roman"/>
          <w:sz w:val="18"/>
          <w:szCs w:val="18"/>
          <w:color w:val="auto"/>
        </w:rPr>
        <w:t>The Company is considered a mixed company for net operating loss carryforward rules. A 20-year carryforward without an annual income limitation is applicable for insurance companies. The carryforward period for non-insurance companies is unlimited but limited to 80% of the current year taxable income. At December 31, 2024, the Company has $984,000 of net operating loss carryforwards that were generated in 2024 and do not expire.</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had no reserve for future tax contingencies or liabilities (“unrecognized tax benefits”) at December 31, 2024 or 2023.</w:t>
      </w:r>
    </w:p>
    <w:p>
      <w:pPr>
        <w:spacing w:after="0" w:line="1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U.S. imposes a 1% excise tax on reinsurance premiums paid to non-U.S. reinsurers with respect to risks located in the U.S. The rates of tax 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established based on the nature of the risk, unless reduced by an applicable U.S. tax treaty. The Company paid excise taxes of $204,000, $194,000,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$842,000 for the years ended December 31, 2024, 2023, and 2022, respectively, on written premiums assumed from third-party insurers with respect to risks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located in the U.S. These excise taxes are reflected as “other operating expenses” in the Company’s Consolidated Statements of (Loss) Income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Loss.</w:t>
      </w:r>
    </w:p>
    <w:p>
      <w:pPr>
        <w:spacing w:after="0" w:line="93" w:lineRule="exact"/>
        <w:rPr>
          <w:sz w:val="20"/>
          <w:szCs w:val="20"/>
          <w:color w:val="auto"/>
        </w:rPr>
      </w:pPr>
    </w:p>
    <w:p>
      <w:pPr>
        <w:jc w:val="right"/>
        <w:ind w:right="7200"/>
        <w:spacing w:after="0"/>
        <w:tabs>
          <w:tab w:leader="none" w:pos="108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Other Operating Expenses and Other Expenses</w:t>
      </w:r>
    </w:p>
    <w:p>
      <w:pPr>
        <w:spacing w:after="0" w:line="119" w:lineRule="exact"/>
        <w:rPr>
          <w:sz w:val="20"/>
          <w:szCs w:val="20"/>
          <w:color w:val="auto"/>
        </w:rPr>
      </w:pPr>
    </w:p>
    <w:p>
      <w:pPr>
        <w:jc w:val="right"/>
        <w:ind w:right="7260"/>
        <w:spacing w:after="0"/>
        <w:rPr>
          <w:sz w:val="20"/>
          <w:szCs w:val="20"/>
          <w:color w:val="auto"/>
        </w:rPr>
      </w:pPr>
      <w:r>
        <w:rPr>
          <w:rFonts w:ascii="Times New Roman" w:cs="Times New Roman" w:eastAsia="Times New Roman" w:hAnsi="Times New Roman"/>
          <w:sz w:val="18"/>
          <w:szCs w:val="18"/>
          <w:color w:val="auto"/>
        </w:rPr>
        <w:t>Other operating expenses consist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49,809</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underwriting expenses of the insurance segments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71,501</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31,260</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193,198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152,570</w:t>
            </w: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120" w:firstLine="363"/>
        <w:spacing w:after="0" w:line="264" w:lineRule="auto"/>
        <w:rPr>
          <w:sz w:val="20"/>
          <w:szCs w:val="20"/>
          <w:color w:val="auto"/>
        </w:rPr>
      </w:pPr>
      <w:r>
        <w:rPr>
          <w:rFonts w:ascii="Times New Roman" w:cs="Times New Roman" w:eastAsia="Times New Roman" w:hAnsi="Times New Roman"/>
          <w:sz w:val="18"/>
          <w:szCs w:val="18"/>
          <w:color w:val="auto"/>
        </w:rPr>
        <w:t>Other expenses of $6.1 million, $3.8 million, and $795,000 for the years ended December 31, 2024, 2023, and 2022, respectively, primarily consist of certain nonoperating expenses including legal fees related to a class action lawsuit, and legal and other professional fees and other expenses related to various strategic initiatives.</w:t>
      </w:r>
    </w:p>
    <w:p>
      <w:pPr>
        <w:spacing w:after="0" w:line="6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Employee Benefits</w:t>
      </w:r>
    </w:p>
    <w:p>
      <w:pPr>
        <w:spacing w:after="0" w:line="119" w:lineRule="exact"/>
        <w:rPr>
          <w:sz w:val="20"/>
          <w:szCs w:val="20"/>
          <w:color w:val="auto"/>
        </w:rPr>
      </w:pPr>
    </w:p>
    <w:p>
      <w:pPr>
        <w:ind w:right="20" w:firstLine="363"/>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offer savings plans (the “Savings Plans”) which qualify under Section 401(k) of the U.S. Internal Revenue Code. Participants may contribute certain percentages of their pre-tax salary to the Savings Plans subject to statutory limitations. The Company and its subsidiaries match employee contributions at various rates up to a maximum contribution of 6.0% of the participant’s earnings subject to certain statutory limits. For the years ended December 31, 2024, 2023, and 2022, the expense associated with the Savings Plans totaled $4.2 million, $4.1 million, and $3.5 million, respectively.</w:t>
      </w:r>
    </w:p>
    <w:p>
      <w:pPr>
        <w:spacing w:after="0" w:line="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Commitments and Contingent Liabilities</w:t>
      </w:r>
    </w:p>
    <w:p>
      <w:pPr>
        <w:spacing w:after="0" w:line="119" w:lineRule="exact"/>
        <w:rPr>
          <w:sz w:val="20"/>
          <w:szCs w:val="20"/>
          <w:color w:val="auto"/>
        </w:rPr>
      </w:pPr>
    </w:p>
    <w:p>
      <w:pPr>
        <w:ind w:right="440" w:firstLine="323"/>
        <w:spacing w:after="0" w:line="256" w:lineRule="auto"/>
        <w:rPr>
          <w:sz w:val="20"/>
          <w:szCs w:val="20"/>
          <w:color w:val="auto"/>
        </w:rPr>
      </w:pPr>
      <w:r>
        <w:rPr>
          <w:rFonts w:ascii="Times New Roman" w:cs="Times New Roman" w:eastAsia="Times New Roman" w:hAnsi="Times New Roman"/>
          <w:sz w:val="18"/>
          <w:szCs w:val="18"/>
          <w:color w:val="auto"/>
        </w:rPr>
        <w:t>The Company is involved in various legal proceedings, including commercial matters and litigation regarding insurance claims which arise in the ordinary course of business. In addition, the Company is involved from time to time in legal actions which seek extra-contractual damages, punitive damages or penalties, including claims alleging bad faith in the handling of insurance claims. The Company believes that the outcome of such matters, individually and in the aggregate, is not reasonably likely to have a material adverse effect on the Company's consolidated financial position, results of operations or cash flows.</w:t>
      </w:r>
    </w:p>
    <w:p>
      <w:pPr>
        <w:spacing w:after="0" w:line="79" w:lineRule="exact"/>
        <w:rPr>
          <w:sz w:val="20"/>
          <w:szCs w:val="20"/>
          <w:color w:val="auto"/>
        </w:rPr>
      </w:pPr>
    </w:p>
    <w:p>
      <w:pPr>
        <w:ind w:right="120" w:firstLine="323"/>
        <w:spacing w:after="0" w:line="254" w:lineRule="auto"/>
        <w:rPr>
          <w:sz w:val="20"/>
          <w:szCs w:val="20"/>
          <w:color w:val="auto"/>
        </w:rPr>
      </w:pPr>
      <w:r>
        <w:rPr>
          <w:rFonts w:ascii="Times New Roman" w:cs="Times New Roman" w:eastAsia="Times New Roman" w:hAnsi="Times New Roman"/>
          <w:sz w:val="18"/>
          <w:szCs w:val="18"/>
          <w:color w:val="auto"/>
        </w:rPr>
        <w:t>On November 13, 2023, a purported class action lawsuit was filed in the U.S. District Court, Southern District of New York, on behalf of Paul Glantz against James River Group Holdings, Ltd. and certain of its officers, asserting claims under Sections 10(b) and 20(a) of the Securities Exchange Act of 1934. On January 12, 2024, both Mr. Glantz and Madhav Ghimire, another individual shareholder, filed an application with the court for appointment as lead plaintiff, and on January 26, 2024 Mr. Glantz filed a notice of non-opposition to Mr. Ghimire's competing motion for appointment as lead plaintiff. On March 25, 2024 the court entered an order appointing Mr. Ghimire as lead plaintiff. On May 24, 2024, plaintiff filed its consolidated amended complaint alleging that he acquired the Company’s common stock at artificially inflated pricing between May 2, 2023 and November 7, 2023, inclusive, that the Company knew and/or recklessly disregarded that it had improperly accounted for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jc w:val="both"/>
        <w:ind w:right="80"/>
        <w:spacing w:after="0" w:line="279" w:lineRule="auto"/>
        <w:rPr>
          <w:sz w:val="20"/>
          <w:szCs w:val="20"/>
          <w:color w:val="auto"/>
        </w:rPr>
      </w:pPr>
      <w:r>
        <w:rPr>
          <w:rFonts w:ascii="Times New Roman" w:cs="Times New Roman" w:eastAsia="Times New Roman" w:hAnsi="Times New Roman"/>
          <w:sz w:val="17"/>
          <w:szCs w:val="17"/>
          <w:color w:val="auto"/>
        </w:rPr>
        <w:t>reinsurance premiums and did not have effective internal control over financial reporting, and that as a result, he suffered unspecified damages, and seeking unspecified damages, costs, attorneys' fees and such other relief as the court may deem proper. On July 23, 2024 the Company filed a motion to dismiss the consolidated amended complaint. On September 6, 2024, the plaintiff filed its Opposition to Motion to Dismiss and on October 8, 2024, the Company filed its Reply to the plaintiff's Opposition to Motion to Dismiss. On January 23, 2025 the court granted the Company's Motion to Dismiss with prejudice.</w:t>
      </w:r>
    </w:p>
    <w:p>
      <w:pPr>
        <w:spacing w:after="0" w:line="58" w:lineRule="exact"/>
        <w:rPr>
          <w:sz w:val="20"/>
          <w:szCs w:val="20"/>
          <w:color w:val="auto"/>
        </w:rPr>
      </w:pPr>
    </w:p>
    <w:p>
      <w:pPr>
        <w:ind w:firstLine="323"/>
        <w:spacing w:after="0" w:line="251" w:lineRule="auto"/>
        <w:rPr>
          <w:sz w:val="20"/>
          <w:szCs w:val="20"/>
          <w:color w:val="auto"/>
        </w:rPr>
      </w:pPr>
      <w:r>
        <w:rPr>
          <w:rFonts w:ascii="Times New Roman" w:cs="Times New Roman" w:eastAsia="Times New Roman" w:hAnsi="Times New Roman"/>
          <w:sz w:val="18"/>
          <w:szCs w:val="18"/>
          <w:color w:val="auto"/>
        </w:rPr>
        <w:t>On March 11, 2024, the Company filed a complaint (the “Complaint”) in the Supreme Court of the State of New York, New York County, Commercial Division against Fleming Intermediate Holdings LLC (“Fleming”), a Cayman Islands limited liability company, relating to the previously announced Stock Purchase Agreement, dated as of November 8, 2023 (the “Stock Purchase Agreement”), pursuant to which Fleming agreed to purchase all of the outstanding common shares of JRG Re (the “Transaction”). The complaint alleges that Fleming breached the Stock Purchase Agreement by its refusal to close the Transaction on March 1, 2024 as required under the terms of the Stock Purchase Agreement, and seeks specific performance of Fleming’s obligation to complete the Transaction and an award of damages. The Company subsequently filed a motion for preliminary injunction to require Fleming to fulfill its contractual obligation to close the Transaction, and on April 6, 2024 the Court granted the Company’s motion and ordered Fleming to complete the Transaction on or prior to April 16, 2024. On April 8, 2024, Fleming filed a notice of appeal of the preliminary injunction, which Fleming withdrew on October 9, 2024. The Transaction closed on April 16, 2024. On April 19, 2024, Fleming filed a motion to dismiss the Complaint. On May 9, 2024, the Company filed an amended complaint seeking, among other things, specific performance and damages suffered as a result of Fleming's breach of the Stock Purchase Agreement. On June 6, 2024, Fleming filed a motion to dismiss the amended complaint, on July 3, 2024 the Company filed an opposition to the motion to dismiss, on July 24, 2024 Fleming filed its reply to the opposition, and on October 29, 2024 the court heard oral argument on the motion to dismiss.</w:t>
      </w:r>
    </w:p>
    <w:p>
      <w:pPr>
        <w:spacing w:after="0" w:line="88" w:lineRule="exact"/>
        <w:rPr>
          <w:sz w:val="20"/>
          <w:szCs w:val="20"/>
          <w:color w:val="auto"/>
        </w:rPr>
      </w:pPr>
    </w:p>
    <w:p>
      <w:pPr>
        <w:ind w:right="60" w:firstLine="323"/>
        <w:spacing w:after="0" w:line="271" w:lineRule="auto"/>
        <w:rPr>
          <w:sz w:val="20"/>
          <w:szCs w:val="20"/>
          <w:color w:val="auto"/>
        </w:rPr>
      </w:pPr>
      <w:r>
        <w:rPr>
          <w:rFonts w:ascii="Times New Roman" w:cs="Times New Roman" w:eastAsia="Times New Roman" w:hAnsi="Times New Roman"/>
          <w:sz w:val="17"/>
          <w:szCs w:val="17"/>
          <w:color w:val="auto"/>
        </w:rPr>
        <w:t>On July 15, 2024, Fleming filed a lawsuit in the U.S. District Court, Southern District of New York against James River Group Holdings, Ltd. and certain of its officers, asserting claims under Sections 10(b) and 20(a) of the Securities Exchange Act of 1934, common law fraud, and breaches of contract, and seeking unspecified monetary damages, including compensatory, consequential and punitive damages, all associated with Fleming's purchase of JRG Re pursuant to the Stock Purchase Agreement. On July 31, 2024, Fleming filed an amended complaint, on September 13, 2024 the Company filed a motion to dismiss the amended complaint, and on October 18, 2024 Fleming filed a second amended complaint. On November 15, 2024, the Company filed a motion to dismiss the second amended complaint, on December 23, 2024 Fleming filed an opposition to the motion to dismiss, and on January 17, 2025 the Company filed its reply to Fleming's opposition. The Company believes that it has substantial defenses and intends to vigorously defend this lawsuit.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Recoverable from an Indemnifying Party and Reinsurer on Legacy Commercial Auto Book</w:t>
      </w:r>
    </w:p>
    <w:p>
      <w:pPr>
        <w:spacing w:after="0" w:line="119" w:lineRule="exact"/>
        <w:rPr>
          <w:sz w:val="20"/>
          <w:szCs w:val="20"/>
          <w:color w:val="auto"/>
        </w:rPr>
      </w:pPr>
    </w:p>
    <w:p>
      <w:pPr>
        <w:ind w:right="120" w:firstLine="363"/>
        <w:spacing w:after="0" w:line="252" w:lineRule="auto"/>
        <w:rPr>
          <w:sz w:val="20"/>
          <w:szCs w:val="20"/>
          <w:color w:val="auto"/>
        </w:rPr>
      </w:pPr>
      <w:r>
        <w:rPr>
          <w:rFonts w:ascii="Times New Roman" w:cs="Times New Roman" w:eastAsia="Times New Roman" w:hAnsi="Times New Roman"/>
          <w:sz w:val="18"/>
          <w:szCs w:val="18"/>
          <w:color w:val="auto"/>
        </w:rPr>
        <w:t>James River previously issued a set of commercial auto insurance contracts (the “Rasier Commercial Auto Policies”) to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the Commercial Auto LPT with Aleka to reinsure substantially all of the Rasier Commercial Auto Policies for which James River is not otherwise indemnified by Rasier under the Indemnity Agreements. Under the terms of the Commercial Auto LPT, effective as of July 1, 2021, James River ceded to Aleka approximately $345.1 million of commercial auto liabilities relating to Rasier Commercial Auto Policies written in the years 2013-2019, which amount constituted the reinsurance premium. Since inception, due to adverse paid and reported loss trends on the legacy Rasier business, the Company has recognized adverse prior year development of $114.2 million on the reserves subject to the Commercial Auto LPT, bringing the cumulative amount ceded under the Commercial Auto LPT to $459.3 million at December 31, 2024.</w:t>
      </w:r>
    </w:p>
    <w:p>
      <w:pPr>
        <w:spacing w:after="0" w:line="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Each of Rasier and Aleka are required to post collateral under the Indemnity Agreements and the Commercial Auto LPT:</w:t>
      </w:r>
    </w:p>
    <w:p>
      <w:pPr>
        <w:spacing w:after="0" w:line="115" w:lineRule="exact"/>
        <w:rPr>
          <w:sz w:val="20"/>
          <w:szCs w:val="20"/>
          <w:color w:val="auto"/>
        </w:rPr>
      </w:pPr>
    </w:p>
    <w:p>
      <w:pPr>
        <w:ind w:right="160" w:firstLine="370"/>
        <w:spacing w:after="0" w:line="254" w:lineRule="auto"/>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Commercial Auto LPT, James River returned $691.3 million to the Indemnity Trust, representing the remaining balance of the amount withdrawn in October 2019, as was permitted under the indemnification agreements with Rasier and the associated trust agreement. At December 31, 2024, the balance in the Indemnity Trust was $64.7 million, and, together with the balance of the Loss Fund Trust (as defined below) attributable to the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Indemnity Agreements as described below, the total balance of collateral securing Rasier’s obligations under the Indemnity Agreements was $82.1 million.</w:t>
      </w:r>
    </w:p>
    <w:p>
      <w:pPr>
        <w:spacing w:after="0" w:line="115" w:lineRule="exact"/>
        <w:rPr>
          <w:sz w:val="20"/>
          <w:szCs w:val="20"/>
          <w:color w:val="auto"/>
        </w:rPr>
      </w:pPr>
    </w:p>
    <w:p>
      <w:pPr>
        <w:ind w:firstLine="370"/>
        <w:spacing w:after="0" w:line="253"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Commercial Auto LPT, Aleka is required to post collateral equal to 102% of James River's estimate of Aleka's obligations under the Commercial Auto LPT, calculated in accordance with standard actuarial principles and based on reserves recorded in the Company's statutory financial statements. The collateral is provided through a collateral trust arrangement (the “LPT Trust”) established in favor of James River by Aleka. At December 31, 2024, the balance in the LPT Trust was $30.1 million, and, together with the balance of the Loss Fund Trust (as defined below) attributable to the Commercial Auto LPT as described below, the total balance of collateral securing Aleka’s obligations under the Commercial Auto LPT was</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$37.8 million. At December 31, 2024, the total reinsurance recoverables under the Commercial Auto LPT was $36.6 million.</w:t>
      </w:r>
    </w:p>
    <w:p>
      <w:pPr>
        <w:spacing w:after="0" w:line="97" w:lineRule="exact"/>
        <w:rPr>
          <w:sz w:val="20"/>
          <w:szCs w:val="20"/>
          <w:color w:val="auto"/>
        </w:rPr>
      </w:pPr>
    </w:p>
    <w:p>
      <w:pPr>
        <w:ind w:right="20" w:firstLine="363"/>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December 31, 2024, the balance in the Loss Fund Trust was $28.7 million, including $17.4 million representing collateral supporting Rasier’s obligations under the Indemnity Agreements and $7.7 million representing collateral supporting Aleka’s obligations under the Commercial Auto LPT. Funds posted to the Loss Fund Trust are classified as restricted cash equivalents on the Company's balance sheet.</w:t>
      </w:r>
    </w:p>
    <w:p>
      <w:pPr>
        <w:spacing w:after="0" w:line="84" w:lineRule="exact"/>
        <w:rPr>
          <w:sz w:val="20"/>
          <w:szCs w:val="20"/>
          <w:color w:val="auto"/>
        </w:rPr>
      </w:pPr>
    </w:p>
    <w:p>
      <w:pPr>
        <w:ind w:right="40" w:firstLine="363"/>
        <w:spacing w:after="0" w:line="253" w:lineRule="auto"/>
        <w:rPr>
          <w:sz w:val="20"/>
          <w:szCs w:val="20"/>
          <w:color w:val="auto"/>
        </w:rPr>
      </w:pPr>
      <w:r>
        <w:rPr>
          <w:rFonts w:ascii="Times New Roman" w:cs="Times New Roman" w:eastAsia="Times New Roman" w:hAnsi="Times New Roman"/>
          <w:sz w:val="18"/>
          <w:szCs w:val="18"/>
          <w:color w:val="auto"/>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our collateral balances. In addition, the Company has credit exposure if its estimates of future losses and loss adjustment expenses and other amounts recoverable under the Indemnity Agreements and the Commercial Auto LPT, which are the basis for establishing the collateral balances, are lower than actual amounts paid or payable. The amount of credit exposure in any of these instances could be material. To mitigate these risks, the Company closely and frequently monitors exposure compared to collateral held, and requests additional collateral in accordance with the terms of the Commercial Auto LPT and Indemnity Agreements when its analysis indicates that the Company has uncollateralized exposure.</w:t>
      </w:r>
    </w:p>
    <w:p>
      <w:pPr>
        <w:spacing w:after="0" w:line="7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Other Comprehensive (Loss) Income</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components of other comprehensive income (loss):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6"/>
          </w:tcPr>
          <w:p>
            <w:pPr>
              <w:jc w:val="center"/>
              <w:ind w:left="6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5"/>
        </w:trPr>
        <w:tc>
          <w:tcPr>
            <w:tcW w:w="7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(losses) gains arising during the period, before U.S. income taxes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105,368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(219,788)</w:t>
            </w:r>
          </w:p>
        </w:tc>
      </w:tr>
      <w:tr>
        <w:trPr>
          <w:trHeight w:val="228"/>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income taxes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26,780</w:t>
            </w:r>
          </w:p>
        </w:tc>
      </w:tr>
      <w:tr>
        <w:trPr>
          <w:trHeight w:val="22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(losses) gains arising during the period, net of U.S. income taxes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(193,008)</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reclassification adjustment: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investment (losses) gains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8"/>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income taxes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investment (losses) gains realized in net income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2"/>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99,323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(193,022)</w:t>
            </w: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140" w:firstLine="363"/>
        <w:spacing w:after="0" w:line="259" w:lineRule="auto"/>
        <w:rPr>
          <w:sz w:val="20"/>
          <w:szCs w:val="20"/>
          <w:color w:val="auto"/>
        </w:rPr>
      </w:pPr>
      <w:r>
        <w:rPr>
          <w:rFonts w:ascii="Times New Roman" w:cs="Times New Roman" w:eastAsia="Times New Roman" w:hAnsi="Times New Roman"/>
          <w:sz w:val="18"/>
          <w:szCs w:val="18"/>
          <w:color w:val="auto"/>
        </w:rPr>
        <w:t>In addition to the net realized investment (losses) gains of $(1.3) million, $(339,000), and $275,000 on available-for-sale fixed maturity securities for the years ended December 31, 2024, 2023, and 2022, the Company recognized net realized and unrealized investment (losses) gains in the respective years of $(3.8) million, $5.5 million, and $(5.7) million on its investments in bank loan participations and $8.7 million, $5.2 million, and $(11.1) million on its investments in equity securities.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30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19" w:lineRule="exact"/>
        <w:rPr>
          <w:sz w:val="20"/>
          <w:szCs w:val="20"/>
          <w:color w:val="auto"/>
        </w:rPr>
      </w:pPr>
    </w:p>
    <w:p>
      <w:pPr>
        <w:ind w:right="40" w:firstLine="363"/>
        <w:spacing w:after="0" w:line="252" w:lineRule="auto"/>
        <w:rPr>
          <w:sz w:val="20"/>
          <w:szCs w:val="20"/>
          <w:color w:val="auto"/>
        </w:rPr>
      </w:pPr>
      <w:r>
        <w:rPr>
          <w:rFonts w:ascii="Times New Roman" w:cs="Times New Roman" w:eastAsia="Times New Roman" w:hAnsi="Times New Roman"/>
          <w:sz w:val="18"/>
          <w:szCs w:val="18"/>
          <w:color w:val="auto"/>
        </w:rPr>
        <w:t>The Company's continuing operations are comprised of three reportable segments, two of which are separately managed business units and the third (“Corporate and Other”) includes the Company’s remaining operations. The Excess and Surplus Lines segment primarily offers commercial excess and surplus lines liability and excess property insurance products. The Specialty Admitted Insurance segment offers specialty admitted fronting and program business and, prior to the sale of the Company's renewal rights in 2023, workers’ compensation insurance coverage. The Corporate and Other segment consists of certain management and treasury activities of James River Group, James River UK, and JRG Holdings as well as interest expense associated with senior debt and Junior Subordinated Debt, and investment income. The accounting policies of the reportable segments are the same as those described in the summary of significant accounting policies. Prior to entering into a definitive agreement to sell JRG Re on November 8, 2023, JRG Re was considered a reportable segment (the “Casualty Reinsurance” segment). After entering into the agreement to sell JRG Re, the Company no longer considers Casualty Reinsurance to be a reportable segment, but instead it is reported as discontinued operations. The segment information below excludes discontinued operations for all periods presented.</w:t>
      </w:r>
    </w:p>
    <w:p>
      <w:pPr>
        <w:spacing w:after="0" w:line="84" w:lineRule="exact"/>
        <w:rPr>
          <w:sz w:val="20"/>
          <w:szCs w:val="20"/>
          <w:color w:val="auto"/>
        </w:rPr>
      </w:pPr>
    </w:p>
    <w:p>
      <w:pPr>
        <w:ind w:firstLine="363"/>
        <w:spacing w:after="0" w:line="251" w:lineRule="auto"/>
        <w:rPr>
          <w:sz w:val="20"/>
          <w:szCs w:val="20"/>
          <w:color w:val="auto"/>
        </w:rPr>
      </w:pPr>
      <w:r>
        <w:rPr>
          <w:rFonts w:ascii="Times New Roman" w:cs="Times New Roman" w:eastAsia="Times New Roman" w:hAnsi="Times New Roman"/>
          <w:sz w:val="18"/>
          <w:szCs w:val="18"/>
          <w:color w:val="auto"/>
        </w:rPr>
        <w:t xml:space="preserve">Segment profit (loss) is measured by underwriting profit (loss), which is generally defined as net earned premiums and gross fee income (in specific instances when the Company is not retaining insurance risk) in “other income” in the Consolidated Statements of (Loss) Income and Comprehensive Loss less loss and loss adjustment expenses on business not subject to retroactive reinsurance accounting (see </w:t>
      </w:r>
      <w:r>
        <w:rPr>
          <w:rFonts w:ascii="Times New Roman" w:cs="Times New Roman" w:eastAsia="Times New Roman" w:hAnsi="Times New Roman"/>
          <w:sz w:val="18"/>
          <w:szCs w:val="18"/>
          <w:i w:val="1"/>
          <w:iCs w:val="1"/>
          <w:color w:val="auto"/>
        </w:rPr>
        <w:t>Retroactive Reinsurance Accounting</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Note 8 -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Reserve for Losses and Loss Adjustment Expenses</w:t>
      </w:r>
      <w:r>
        <w:rPr>
          <w:rFonts w:ascii="Times New Roman" w:cs="Times New Roman" w:eastAsia="Times New Roman" w:hAnsi="Times New Roman"/>
          <w:sz w:val="18"/>
          <w:szCs w:val="18"/>
          <w:color w:val="auto"/>
        </w:rPr>
        <w:t>) and other operating expenses. Other operating expenses include the underwriting, acquisition,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expenses of the operating segments and, for consolidated underwriting profit, the expenses of the Corporate and Other segment. Other operating expenses for the Corporate and Other segment include personnel costs associated with the Bermuda and U.S. holding companies, professional fees, share-based compensation for the full Company, and various other corporate expenses that were not reimbursed by our subsidiaries, including costs associated with rating agencies and strategic initiatives. Net commissions in the table below are net of amounts deferred as deferred policy acquisition costs. Employee compensation includes both cash and share-based compensation, as well as employer expenses related to payroll taxes and benefits, and is net of amounts allocated to losses and loss adjustment expenses and amounts deferred. All other operating expenses include, amongst other expenses, costs for insurance, outside professional fees including legal, audit, and consulting, office rent, bad debt expense, and taxes, licenses and fees on business written. Segment results are reported prior to the effects of intercompany pooling agreements and intercompany reinsurance agreements. All gross written premiums and net earned premiums for all periods presented were generated from policies issued to U.S. based insureds. Segment revenues for each reportable segment consist of net earned premiums, net investment income, and realized and unrealized (losses) gains on investments.</w:t>
      </w:r>
    </w:p>
    <w:p>
      <w:pPr>
        <w:spacing w:after="0" w:line="87" w:lineRule="exact"/>
        <w:rPr>
          <w:sz w:val="20"/>
          <w:szCs w:val="20"/>
          <w:color w:val="auto"/>
        </w:rPr>
      </w:pPr>
    </w:p>
    <w:p>
      <w:pPr>
        <w:ind w:right="40" w:firstLine="363"/>
        <w:spacing w:after="0" w:line="275" w:lineRule="auto"/>
        <w:rPr>
          <w:sz w:val="20"/>
          <w:szCs w:val="20"/>
          <w:color w:val="auto"/>
        </w:rPr>
      </w:pPr>
      <w:r>
        <w:rPr>
          <w:rFonts w:ascii="Times New Roman" w:cs="Times New Roman" w:eastAsia="Times New Roman" w:hAnsi="Times New Roman"/>
          <w:sz w:val="17"/>
          <w:szCs w:val="17"/>
          <w:color w:val="auto"/>
        </w:rPr>
        <w:t>The Company's Chief Executive Officer ("CEO") has final authority over segment resource allocation decisions and performance assessment, and consequently, is identified as the Chief Operating Decision Maker ("CODM"). The CEO considers segment underwriting profit (loss) in the annual budget and forecasting process, and in monthly financial reviews of actual segment results compared to budget and prior year periods in order to assess segment performance and make strategic operating decisions regarding the business written by the segments, the allocation of capital and personnel to the segments, and compensation for segment employees. The segment information presented below aligns with the information that is presented regularly to the CEO.</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220" w:type="dxa"/>
            <w:vAlign w:val="bottom"/>
          </w:tcPr>
          <w:p>
            <w:pPr>
              <w:spacing w:after="0"/>
              <w:rPr>
                <w:sz w:val="13"/>
                <w:szCs w:val="13"/>
                <w:color w:val="auto"/>
              </w:rPr>
            </w:pPr>
          </w:p>
        </w:tc>
        <w:tc>
          <w:tcPr>
            <w:tcW w:w="156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8"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220" w:type="dxa"/>
            <w:vAlign w:val="bottom"/>
          </w:tcPr>
          <w:p>
            <w:pPr>
              <w:spacing w:after="0"/>
              <w:rPr>
                <w:sz w:val="12"/>
                <w:szCs w:val="12"/>
                <w:color w:val="auto"/>
              </w:rPr>
            </w:pPr>
          </w:p>
        </w:tc>
        <w:tc>
          <w:tcPr>
            <w:tcW w:w="1560" w:type="dxa"/>
            <w:vAlign w:val="bottom"/>
            <w:gridSpan w:val="3"/>
          </w:tcPr>
          <w:p>
            <w:pPr>
              <w:jc w:val="center"/>
              <w:ind w:right="680"/>
              <w:spacing w:after="0" w:line="148" w:lineRule="exact"/>
              <w:rPr>
                <w:sz w:val="20"/>
                <w:szCs w:val="20"/>
                <w:color w:val="auto"/>
              </w:rPr>
            </w:pPr>
            <w:r>
              <w:rPr>
                <w:rFonts w:ascii="Times New Roman" w:cs="Times New Roman" w:eastAsia="Times New Roman" w:hAnsi="Times New Roman"/>
                <w:sz w:val="14"/>
                <w:szCs w:val="14"/>
                <w:b w:val="1"/>
                <w:bCs w:val="1"/>
                <w:color w:val="auto"/>
              </w:rPr>
              <w:t>and</w:t>
            </w: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Surplus Lines</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gridSpan w:val="6"/>
          </w:tcPr>
          <w:p>
            <w:pPr>
              <w:ind w:left="7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8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b w:val="1"/>
                <w:bCs w:val="1"/>
                <w:color w:val="auto"/>
              </w:rPr>
              <w:t>As of and for the Year Ended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1,017,029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414,743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1,431,772</w:t>
            </w:r>
          </w:p>
        </w:tc>
        <w:tc>
          <w:tcPr>
            <w:tcW w:w="0" w:type="dxa"/>
            <w:vAlign w:val="bottom"/>
          </w:tcPr>
          <w:p>
            <w:pPr>
              <w:spacing w:after="0"/>
              <w:rPr>
                <w:sz w:val="1"/>
                <w:szCs w:val="1"/>
                <w:color w:val="auto"/>
              </w:rPr>
            </w:pPr>
          </w:p>
        </w:tc>
      </w:tr>
      <w:tr>
        <w:trPr>
          <w:trHeight w:val="22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600,196</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 income</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0" w:type="dxa"/>
            <w:vAlign w:val="bottom"/>
          </w:tcPr>
          <w:p>
            <w:pPr>
              <w:spacing w:after="0"/>
              <w:rPr>
                <w:sz w:val="1"/>
                <w:szCs w:val="1"/>
                <w:color w:val="auto"/>
              </w:rPr>
            </w:pPr>
          </w:p>
        </w:tc>
      </w:tr>
      <w:tr>
        <w:trPr>
          <w:trHeight w:val="22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554,374</w:t>
            </w:r>
          </w:p>
        </w:tc>
        <w:tc>
          <w:tcPr>
            <w:tcW w:w="0" w:type="dxa"/>
            <w:vAlign w:val="bottom"/>
          </w:tcPr>
          <w:p>
            <w:pPr>
              <w:spacing w:after="0"/>
              <w:rPr>
                <w:sz w:val="1"/>
                <w:szCs w:val="1"/>
                <w:color w:val="auto"/>
              </w:rPr>
            </w:pPr>
          </w:p>
        </w:tc>
      </w:tr>
      <w:tr>
        <w:trPr>
          <w:trHeight w:val="175"/>
        </w:trPr>
        <w:tc>
          <w:tcPr>
            <w:tcW w:w="41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Less: losses and loss adjustment expense - retroactive</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37,237</w:t>
            </w:r>
          </w:p>
        </w:tc>
        <w:tc>
          <w:tcPr>
            <w:tcW w:w="0" w:type="dxa"/>
            <w:vAlign w:val="bottom"/>
          </w:tcPr>
          <w:p>
            <w:pPr>
              <w:spacing w:after="0"/>
              <w:rPr>
                <w:sz w:val="1"/>
                <w:szCs w:val="1"/>
                <w:color w:val="auto"/>
              </w:rPr>
            </w:pPr>
          </w:p>
        </w:tc>
      </w:tr>
      <w:tr>
        <w:trPr>
          <w:trHeight w:val="155"/>
        </w:trPr>
        <w:tc>
          <w:tcPr>
            <w:tcW w:w="41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Losses and loss adjustment expenses excluding</w:t>
            </w: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retroactive reinsurance</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517,137</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commissions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44,943</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compensation</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100,095</w:t>
            </w:r>
          </w:p>
        </w:tc>
        <w:tc>
          <w:tcPr>
            <w:tcW w:w="0" w:type="dxa"/>
            <w:vAlign w:val="bottom"/>
          </w:tcPr>
          <w:p>
            <w:pPr>
              <w:spacing w:after="0"/>
              <w:rPr>
                <w:sz w:val="1"/>
                <w:szCs w:val="1"/>
                <w:color w:val="auto"/>
              </w:rPr>
            </w:pPr>
          </w:p>
        </w:tc>
      </w:tr>
      <w:tr>
        <w:trPr>
          <w:trHeight w:val="228"/>
        </w:trPr>
        <w:tc>
          <w:tcPr>
            <w:tcW w:w="4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 operating expenses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11,168</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48,160</w:t>
            </w:r>
          </w:p>
        </w:tc>
        <w:tc>
          <w:tcPr>
            <w:tcW w:w="0" w:type="dxa"/>
            <w:vAlign w:val="bottom"/>
          </w:tcPr>
          <w:p>
            <w:pPr>
              <w:spacing w:after="0"/>
              <w:rPr>
                <w:sz w:val="1"/>
                <w:szCs w:val="1"/>
                <w:color w:val="auto"/>
              </w:rPr>
            </w:pPr>
          </w:p>
        </w:tc>
      </w:tr>
      <w:tr>
        <w:trPr>
          <w:trHeight w:val="222"/>
        </w:trPr>
        <w:tc>
          <w:tcPr>
            <w:tcW w:w="4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34,972</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193,198</w:t>
            </w:r>
          </w:p>
        </w:tc>
        <w:tc>
          <w:tcPr>
            <w:tcW w:w="0" w:type="dxa"/>
            <w:vAlign w:val="bottom"/>
          </w:tcPr>
          <w:p>
            <w:pPr>
              <w:spacing w:after="0"/>
              <w:rPr>
                <w:sz w:val="1"/>
                <w:szCs w:val="1"/>
                <w:color w:val="auto"/>
              </w:rPr>
            </w:pPr>
          </w:p>
        </w:tc>
      </w:tr>
      <w:tr>
        <w:trPr>
          <w:trHeight w:val="222"/>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(loss) profit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(77,455)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(34,972)</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(105,554)</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707,626</w:t>
            </w:r>
          </w:p>
        </w:tc>
        <w:tc>
          <w:tcPr>
            <w:tcW w:w="0" w:type="dxa"/>
            <w:vAlign w:val="bottom"/>
          </w:tcPr>
          <w:p>
            <w:pPr>
              <w:spacing w:after="0"/>
              <w:rPr>
                <w:sz w:val="1"/>
                <w:szCs w:val="1"/>
                <w:color w:val="auto"/>
              </w:rPr>
            </w:pPr>
          </w:p>
        </w:tc>
      </w:tr>
      <w:tr>
        <w:trPr>
          <w:trHeight w:val="22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93,089</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0" w:type="dxa"/>
            <w:vAlign w:val="bottom"/>
          </w:tcPr>
          <w:p>
            <w:pPr>
              <w:spacing w:after="0"/>
              <w:rPr>
                <w:sz w:val="1"/>
                <w:szCs w:val="1"/>
                <w:color w:val="auto"/>
              </w:rPr>
            </w:pPr>
          </w:p>
        </w:tc>
      </w:tr>
      <w:tr>
        <w:trPr>
          <w:trHeight w:val="22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goodwill</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3,516,399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1,390,894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99,783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5,007,076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220" w:type="dxa"/>
            <w:vAlign w:val="bottom"/>
          </w:tcPr>
          <w:p>
            <w:pPr>
              <w:spacing w:after="0"/>
              <w:rPr>
                <w:sz w:val="13"/>
                <w:szCs w:val="13"/>
                <w:color w:val="auto"/>
              </w:rPr>
            </w:pPr>
          </w:p>
        </w:tc>
        <w:tc>
          <w:tcPr>
            <w:tcW w:w="152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220" w:type="dxa"/>
            <w:vAlign w:val="bottom"/>
          </w:tcPr>
          <w:p>
            <w:pPr>
              <w:spacing w:after="0"/>
              <w:rPr>
                <w:sz w:val="12"/>
                <w:szCs w:val="12"/>
                <w:color w:val="auto"/>
              </w:rPr>
            </w:pPr>
          </w:p>
        </w:tc>
        <w:tc>
          <w:tcPr>
            <w:tcW w:w="1520" w:type="dxa"/>
            <w:vAlign w:val="bottom"/>
            <w:gridSpan w:val="3"/>
          </w:tcPr>
          <w:p>
            <w:pPr>
              <w:jc w:val="center"/>
              <w:ind w:right="640"/>
              <w:spacing w:after="0" w:line="146" w:lineRule="exact"/>
              <w:rPr>
                <w:sz w:val="20"/>
                <w:szCs w:val="20"/>
                <w:color w:val="auto"/>
              </w:rPr>
            </w:pPr>
            <w:r>
              <w:rPr>
                <w:rFonts w:ascii="Times New Roman" w:cs="Times New Roman" w:eastAsia="Times New Roman" w:hAnsi="Times New Roman"/>
                <w:sz w:val="14"/>
                <w:szCs w:val="14"/>
                <w:b w:val="1"/>
                <w:bCs w:val="1"/>
                <w:color w:val="auto"/>
              </w:rPr>
              <w:t>and</w:t>
            </w: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Surplus Lines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6"/>
          </w:tcPr>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b w:val="1"/>
                <w:bCs w:val="1"/>
                <w:color w:val="auto"/>
              </w:rPr>
              <w:t>As of and for the Year Ended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1,007,351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1,508,660</w:t>
            </w:r>
          </w:p>
        </w:tc>
        <w:tc>
          <w:tcPr>
            <w:tcW w:w="0" w:type="dxa"/>
            <w:vAlign w:val="bottom"/>
          </w:tcPr>
          <w:p>
            <w:pPr>
              <w:spacing w:after="0"/>
              <w:rPr>
                <w:sz w:val="1"/>
                <w:szCs w:val="1"/>
                <w:color w:val="auto"/>
              </w:rPr>
            </w:pPr>
          </w:p>
        </w:tc>
      </w:tr>
      <w:tr>
        <w:trPr>
          <w:trHeight w:val="22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708,005</w:t>
            </w:r>
          </w:p>
        </w:tc>
        <w:tc>
          <w:tcPr>
            <w:tcW w:w="0" w:type="dxa"/>
            <w:vAlign w:val="bottom"/>
          </w:tcPr>
          <w:p>
            <w:pPr>
              <w:spacing w:after="0"/>
              <w:rPr>
                <w:sz w:val="1"/>
                <w:szCs w:val="1"/>
                <w:color w:val="auto"/>
              </w:rPr>
            </w:pPr>
          </w:p>
        </w:tc>
      </w:tr>
      <w:tr>
        <w:trPr>
          <w:trHeight w:val="228"/>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 income</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0" w:type="dxa"/>
            <w:vAlign w:val="bottom"/>
          </w:tcPr>
          <w:p>
            <w:pPr>
              <w:spacing w:after="0"/>
              <w:rPr>
                <w:sz w:val="1"/>
                <w:szCs w:val="1"/>
                <w:color w:val="auto"/>
              </w:rPr>
            </w:pPr>
          </w:p>
        </w:tc>
      </w:tr>
      <w:tr>
        <w:trPr>
          <w:trHeight w:val="22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500,157</w:t>
            </w:r>
          </w:p>
        </w:tc>
        <w:tc>
          <w:tcPr>
            <w:tcW w:w="0" w:type="dxa"/>
            <w:vAlign w:val="bottom"/>
          </w:tcPr>
          <w:p>
            <w:pPr>
              <w:spacing w:after="0"/>
              <w:rPr>
                <w:sz w:val="1"/>
                <w:szCs w:val="1"/>
                <w:color w:val="auto"/>
              </w:rPr>
            </w:pPr>
          </w:p>
        </w:tc>
      </w:tr>
      <w:tr>
        <w:trPr>
          <w:trHeight w:val="175"/>
        </w:trPr>
        <w:tc>
          <w:tcPr>
            <w:tcW w:w="42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Less: losses and loss adjustment expense - retroactive</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0" w:type="dxa"/>
            <w:vAlign w:val="bottom"/>
          </w:tcPr>
          <w:p>
            <w:pPr>
              <w:spacing w:after="0"/>
              <w:rPr>
                <w:sz w:val="1"/>
                <w:szCs w:val="1"/>
                <w:color w:val="auto"/>
              </w:rPr>
            </w:pPr>
          </w:p>
        </w:tc>
      </w:tr>
      <w:tr>
        <w:trPr>
          <w:trHeight w:val="155"/>
        </w:trPr>
        <w:tc>
          <w:tcPr>
            <w:tcW w:w="422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Losses and loss adjustment expenses excluding</w:t>
            </w: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retroactive reinsurance</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495,166</w:t>
            </w:r>
          </w:p>
        </w:tc>
        <w:tc>
          <w:tcPr>
            <w:tcW w:w="0" w:type="dxa"/>
            <w:vAlign w:val="bottom"/>
          </w:tcPr>
          <w:p>
            <w:pPr>
              <w:spacing w:after="0"/>
              <w:rPr>
                <w:sz w:val="1"/>
                <w:szCs w:val="1"/>
                <w:color w:val="auto"/>
              </w:rPr>
            </w:pPr>
          </w:p>
        </w:tc>
      </w:tr>
      <w:tr>
        <w:trPr>
          <w:trHeight w:val="228"/>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commissions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48,733</w:t>
            </w:r>
          </w:p>
        </w:tc>
        <w:tc>
          <w:tcPr>
            <w:tcW w:w="0" w:type="dxa"/>
            <w:vAlign w:val="bottom"/>
          </w:tcPr>
          <w:p>
            <w:pPr>
              <w:spacing w:after="0"/>
              <w:rPr>
                <w:sz w:val="1"/>
                <w:szCs w:val="1"/>
                <w:color w:val="auto"/>
              </w:rPr>
            </w:pPr>
          </w:p>
        </w:tc>
      </w:tr>
      <w:tr>
        <w:trPr>
          <w:trHeight w:val="228"/>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compensation</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98,430</w:t>
            </w:r>
          </w:p>
        </w:tc>
        <w:tc>
          <w:tcPr>
            <w:tcW w:w="0" w:type="dxa"/>
            <w:vAlign w:val="bottom"/>
          </w:tcPr>
          <w:p>
            <w:pPr>
              <w:spacing w:after="0"/>
              <w:rPr>
                <w:sz w:val="1"/>
                <w:szCs w:val="1"/>
                <w:color w:val="auto"/>
              </w:rPr>
            </w:pPr>
          </w:p>
        </w:tc>
      </w:tr>
      <w:tr>
        <w:trPr>
          <w:trHeight w:val="228"/>
        </w:trPr>
        <w:tc>
          <w:tcPr>
            <w:tcW w:w="4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 operating expenses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46,493</w:t>
            </w:r>
          </w:p>
        </w:tc>
        <w:tc>
          <w:tcPr>
            <w:tcW w:w="0" w:type="dxa"/>
            <w:vAlign w:val="bottom"/>
          </w:tcPr>
          <w:p>
            <w:pPr>
              <w:spacing w:after="0"/>
              <w:rPr>
                <w:sz w:val="1"/>
                <w:szCs w:val="1"/>
                <w:color w:val="auto"/>
              </w:rPr>
            </w:pPr>
          </w:p>
        </w:tc>
      </w:tr>
      <w:tr>
        <w:trPr>
          <w:trHeight w:val="222"/>
        </w:trPr>
        <w:tc>
          <w:tcPr>
            <w:tcW w:w="4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193,656</w:t>
            </w:r>
          </w:p>
        </w:tc>
        <w:tc>
          <w:tcPr>
            <w:tcW w:w="0" w:type="dxa"/>
            <w:vAlign w:val="bottom"/>
          </w:tcPr>
          <w:p>
            <w:pPr>
              <w:spacing w:after="0"/>
              <w:rPr>
                <w:sz w:val="1"/>
                <w:szCs w:val="1"/>
                <w:color w:val="auto"/>
              </w:rPr>
            </w:pPr>
          </w:p>
        </w:tc>
      </w:tr>
      <w:tr>
        <w:trPr>
          <w:trHeight w:val="222"/>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profit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54,347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812,009</w:t>
            </w:r>
          </w:p>
        </w:tc>
        <w:tc>
          <w:tcPr>
            <w:tcW w:w="0" w:type="dxa"/>
            <w:vAlign w:val="bottom"/>
          </w:tcPr>
          <w:p>
            <w:pPr>
              <w:spacing w:after="0"/>
              <w:rPr>
                <w:sz w:val="1"/>
                <w:szCs w:val="1"/>
                <w:color w:val="auto"/>
              </w:rPr>
            </w:pPr>
          </w:p>
        </w:tc>
      </w:tr>
      <w:tr>
        <w:trPr>
          <w:trHeight w:val="22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84,046</w:t>
            </w:r>
          </w:p>
        </w:tc>
        <w:tc>
          <w:tcPr>
            <w:tcW w:w="0" w:type="dxa"/>
            <w:vAlign w:val="bottom"/>
          </w:tcPr>
          <w:p>
            <w:pPr>
              <w:spacing w:after="0"/>
              <w:rPr>
                <w:sz w:val="1"/>
                <w:szCs w:val="1"/>
                <w:color w:val="auto"/>
              </w:rPr>
            </w:pPr>
          </w:p>
        </w:tc>
      </w:tr>
      <w:tr>
        <w:trPr>
          <w:trHeight w:val="228"/>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0" w:type="dxa"/>
            <w:vAlign w:val="bottom"/>
          </w:tcPr>
          <w:p>
            <w:pPr>
              <w:spacing w:after="0"/>
              <w:rPr>
                <w:sz w:val="1"/>
                <w:szCs w:val="1"/>
                <w:color w:val="auto"/>
              </w:rPr>
            </w:pPr>
          </w:p>
        </w:tc>
      </w:tr>
      <w:tr>
        <w:trPr>
          <w:trHeight w:val="22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goodwill</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28"/>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3,083,798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4,533,857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220" w:type="dxa"/>
            <w:vAlign w:val="bottom"/>
          </w:tcPr>
          <w:p>
            <w:pPr>
              <w:spacing w:after="0"/>
              <w:rPr>
                <w:sz w:val="13"/>
                <w:szCs w:val="13"/>
                <w:color w:val="auto"/>
              </w:rPr>
            </w:pPr>
          </w:p>
        </w:tc>
        <w:tc>
          <w:tcPr>
            <w:tcW w:w="152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220" w:type="dxa"/>
            <w:vAlign w:val="bottom"/>
          </w:tcPr>
          <w:p>
            <w:pPr>
              <w:spacing w:after="0"/>
              <w:rPr>
                <w:sz w:val="12"/>
                <w:szCs w:val="12"/>
                <w:color w:val="auto"/>
              </w:rPr>
            </w:pPr>
          </w:p>
        </w:tc>
        <w:tc>
          <w:tcPr>
            <w:tcW w:w="1520" w:type="dxa"/>
            <w:vAlign w:val="bottom"/>
            <w:gridSpan w:val="3"/>
          </w:tcPr>
          <w:p>
            <w:pPr>
              <w:jc w:val="center"/>
              <w:ind w:right="640"/>
              <w:spacing w:after="0" w:line="146" w:lineRule="exact"/>
              <w:rPr>
                <w:sz w:val="20"/>
                <w:szCs w:val="20"/>
                <w:color w:val="auto"/>
              </w:rPr>
            </w:pPr>
            <w:r>
              <w:rPr>
                <w:rFonts w:ascii="Times New Roman" w:cs="Times New Roman" w:eastAsia="Times New Roman" w:hAnsi="Times New Roman"/>
                <w:sz w:val="14"/>
                <w:szCs w:val="14"/>
                <w:b w:val="1"/>
                <w:bCs w:val="1"/>
                <w:color w:val="auto"/>
              </w:rPr>
              <w:t>and</w:t>
            </w: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Surplus Lines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6"/>
          </w:tcPr>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8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b w:val="1"/>
                <w:bCs w:val="1"/>
                <w:color w:val="auto"/>
              </w:rPr>
              <w:t>As of and for the Year Ended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921,164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490,208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1,411,372</w:t>
            </w:r>
          </w:p>
        </w:tc>
        <w:tc>
          <w:tcPr>
            <w:tcW w:w="0" w:type="dxa"/>
            <w:vAlign w:val="bottom"/>
          </w:tcPr>
          <w:p>
            <w:pPr>
              <w:spacing w:after="0"/>
              <w:rPr>
                <w:sz w:val="1"/>
                <w:szCs w:val="1"/>
                <w:color w:val="auto"/>
              </w:rPr>
            </w:pPr>
          </w:p>
        </w:tc>
      </w:tr>
      <w:tr>
        <w:trPr>
          <w:trHeight w:val="22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629,734</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 income</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0" w:type="dxa"/>
            <w:vAlign w:val="bottom"/>
          </w:tcPr>
          <w:p>
            <w:pPr>
              <w:spacing w:after="0"/>
              <w:rPr>
                <w:sz w:val="1"/>
                <w:szCs w:val="1"/>
                <w:color w:val="auto"/>
              </w:rPr>
            </w:pPr>
          </w:p>
        </w:tc>
      </w:tr>
      <w:tr>
        <w:trPr>
          <w:trHeight w:val="22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440,642</w:t>
            </w:r>
          </w:p>
        </w:tc>
        <w:tc>
          <w:tcPr>
            <w:tcW w:w="0" w:type="dxa"/>
            <w:vAlign w:val="bottom"/>
          </w:tcPr>
          <w:p>
            <w:pPr>
              <w:spacing w:after="0"/>
              <w:rPr>
                <w:sz w:val="1"/>
                <w:szCs w:val="1"/>
                <w:color w:val="auto"/>
              </w:rPr>
            </w:pPr>
          </w:p>
        </w:tc>
      </w:tr>
      <w:tr>
        <w:trPr>
          <w:trHeight w:val="175"/>
        </w:trPr>
        <w:tc>
          <w:tcPr>
            <w:tcW w:w="41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Less: losses and loss adjustment expense - retroactive</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15,742</w:t>
            </w:r>
          </w:p>
        </w:tc>
        <w:tc>
          <w:tcPr>
            <w:tcW w:w="0" w:type="dxa"/>
            <w:vAlign w:val="bottom"/>
          </w:tcPr>
          <w:p>
            <w:pPr>
              <w:spacing w:after="0"/>
              <w:rPr>
                <w:sz w:val="1"/>
                <w:szCs w:val="1"/>
                <w:color w:val="auto"/>
              </w:rPr>
            </w:pPr>
          </w:p>
        </w:tc>
      </w:tr>
      <w:tr>
        <w:trPr>
          <w:trHeight w:val="155"/>
        </w:trPr>
        <w:tc>
          <w:tcPr>
            <w:tcW w:w="41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Losses and loss adjustment expenses excluding</w:t>
            </w: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retroactive reinsurance</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424,900</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commissions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28,595</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compensation</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86,578</w:t>
            </w:r>
          </w:p>
        </w:tc>
        <w:tc>
          <w:tcPr>
            <w:tcW w:w="0" w:type="dxa"/>
            <w:vAlign w:val="bottom"/>
          </w:tcPr>
          <w:p>
            <w:pPr>
              <w:spacing w:after="0"/>
              <w:rPr>
                <w:sz w:val="1"/>
                <w:szCs w:val="1"/>
                <w:color w:val="auto"/>
              </w:rPr>
            </w:pPr>
          </w:p>
        </w:tc>
      </w:tr>
      <w:tr>
        <w:trPr>
          <w:trHeight w:val="228"/>
        </w:trPr>
        <w:tc>
          <w:tcPr>
            <w:tcW w:w="4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 operating expenses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37,397</w:t>
            </w:r>
          </w:p>
        </w:tc>
        <w:tc>
          <w:tcPr>
            <w:tcW w:w="0" w:type="dxa"/>
            <w:vAlign w:val="bottom"/>
          </w:tcPr>
          <w:p>
            <w:pPr>
              <w:spacing w:after="0"/>
              <w:rPr>
                <w:sz w:val="1"/>
                <w:szCs w:val="1"/>
                <w:color w:val="auto"/>
              </w:rPr>
            </w:pPr>
          </w:p>
        </w:tc>
      </w:tr>
      <w:tr>
        <w:trPr>
          <w:trHeight w:val="222"/>
        </w:trPr>
        <w:tc>
          <w:tcPr>
            <w:tcW w:w="4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152,570</w:t>
            </w:r>
          </w:p>
        </w:tc>
        <w:tc>
          <w:tcPr>
            <w:tcW w:w="0" w:type="dxa"/>
            <w:vAlign w:val="bottom"/>
          </w:tcPr>
          <w:p>
            <w:pPr>
              <w:spacing w:after="0"/>
              <w:rPr>
                <w:sz w:val="1"/>
                <w:szCs w:val="1"/>
                <w:color w:val="auto"/>
              </w:rPr>
            </w:pPr>
          </w:p>
        </w:tc>
      </w:tr>
      <w:tr>
        <w:trPr>
          <w:trHeight w:val="222"/>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profit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83,051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56,025</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661,514</w:t>
            </w:r>
          </w:p>
        </w:tc>
        <w:tc>
          <w:tcPr>
            <w:tcW w:w="0" w:type="dxa"/>
            <w:vAlign w:val="bottom"/>
          </w:tcPr>
          <w:p>
            <w:pPr>
              <w:spacing w:after="0"/>
              <w:rPr>
                <w:sz w:val="1"/>
                <w:szCs w:val="1"/>
                <w:color w:val="auto"/>
              </w:rPr>
            </w:pPr>
          </w:p>
        </w:tc>
      </w:tr>
      <w:tr>
        <w:trPr>
          <w:trHeight w:val="22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43,188</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13,872</w:t>
            </w:r>
          </w:p>
        </w:tc>
        <w:tc>
          <w:tcPr>
            <w:tcW w:w="0" w:type="dxa"/>
            <w:vAlign w:val="bottom"/>
          </w:tcPr>
          <w:p>
            <w:pPr>
              <w:spacing w:after="0"/>
              <w:rPr>
                <w:sz w:val="1"/>
                <w:szCs w:val="1"/>
                <w:color w:val="auto"/>
              </w:rPr>
            </w:pPr>
          </w:p>
        </w:tc>
      </w:tr>
      <w:tr>
        <w:trPr>
          <w:trHeight w:val="22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goodwill</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2,627,956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1,277,988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3,991,276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right="740" w:firstLine="363"/>
        <w:spacing w:after="0" w:line="280" w:lineRule="auto"/>
        <w:rPr>
          <w:sz w:val="20"/>
          <w:szCs w:val="20"/>
          <w:color w:val="auto"/>
        </w:rPr>
      </w:pPr>
      <w:r>
        <w:rPr>
          <w:rFonts w:ascii="Times New Roman" w:cs="Times New Roman" w:eastAsia="Times New Roman" w:hAnsi="Times New Roman"/>
          <w:sz w:val="18"/>
          <w:szCs w:val="18"/>
          <w:color w:val="auto"/>
        </w:rPr>
        <w:t>The following table reconciles the underwriting (loss) profit of operating segments by individual segment to consolidated (loss) income from continuing operations before income taxes: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6"/>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5"/>
        </w:trPr>
        <w:tc>
          <w:tcPr>
            <w:tcW w:w="7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(loss) profit of the operating segments:</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83,051</w:t>
            </w:r>
          </w:p>
        </w:tc>
      </w:tr>
      <w:tr>
        <w:trPr>
          <w:trHeight w:val="228"/>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w:t>
            </w:r>
          </w:p>
        </w:tc>
      </w:tr>
      <w:tr>
        <w:trPr>
          <w:trHeight w:val="222"/>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underwriting (loss) profit of operating segments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87,285</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(31,260)</w:t>
            </w:r>
          </w:p>
        </w:tc>
      </w:tr>
      <w:tr>
        <w:trPr>
          <w:trHeight w:val="222"/>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(loss) profit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56,025</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 retroactive reinsurance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(15,742)</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43,188</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(15,720)</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(13,872)</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480" w:firstLine="363"/>
        <w:spacing w:after="0" w:line="280" w:lineRule="auto"/>
        <w:rPr>
          <w:sz w:val="20"/>
          <w:szCs w:val="20"/>
          <w:color w:val="auto"/>
        </w:rPr>
      </w:pPr>
      <w:r>
        <w:rPr>
          <w:rFonts w:ascii="Times New Roman" w:cs="Times New Roman" w:eastAsia="Times New Roman" w:hAnsi="Times New Roman"/>
          <w:sz w:val="18"/>
          <w:szCs w:val="18"/>
          <w:color w:val="auto"/>
        </w:rPr>
        <w:t>The Company currently has 15 underwriting divisions, including 14 in the Excess and Surplus Lines segment, and one in the Specialty Admitted Insurance segment. Each underwriting division focuses on a specific industry group or coverage.</w:t>
      </w:r>
    </w:p>
    <w:p>
      <w:pPr>
        <w:spacing w:after="0" w:line="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Gross written premiums by segment and underwriting division are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80" w:type="dxa"/>
            <w:vAlign w:val="bottom"/>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5"/>
        </w:trPr>
        <w:tc>
          <w:tcPr>
            <w:tcW w:w="7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Casualty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325,017</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339,870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310,383</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Casualty</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237,632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173,574</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Manufacturers and Contractors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176,494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156,645</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Property</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52,104</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42,290</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 Business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36,930</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Allied Health</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34,156</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Auto</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37,974</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Life Sciences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32,277</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Sports and Entertainment</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13,934</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20,676</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Liability</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8,936</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Professionals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28"/>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Management Liability</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Excess and Surplus Lines segment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1,017,029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921,164</w:t>
            </w:r>
          </w:p>
        </w:tc>
      </w:tr>
      <w:tr>
        <w:trPr>
          <w:trHeight w:val="228"/>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Admitted Insurance segment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414,743</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501,309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490,208</w:t>
            </w:r>
          </w:p>
        </w:tc>
      </w:tr>
      <w:tr>
        <w:trPr>
          <w:trHeight w:val="247"/>
        </w:trPr>
        <w:tc>
          <w:tcPr>
            <w:tcW w:w="7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1,431,772</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1,508,660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1,411,372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320" w:firstLine="363"/>
        <w:spacing w:after="0" w:line="280" w:lineRule="auto"/>
        <w:rPr>
          <w:sz w:val="20"/>
          <w:szCs w:val="20"/>
          <w:color w:val="auto"/>
        </w:rPr>
      </w:pPr>
      <w:r>
        <w:rPr>
          <w:rFonts w:ascii="Times New Roman" w:cs="Times New Roman" w:eastAsia="Times New Roman" w:hAnsi="Times New Roman"/>
          <w:sz w:val="18"/>
          <w:szCs w:val="18"/>
          <w:color w:val="auto"/>
        </w:rPr>
        <w:t>The Company does business with three brokers that generated $345.1 million, $245.5 million and $134.1 million of gross written premiums for the Excess and Surplus Lines segment for the year ended December 31, 2024, representing 24.1%, 17.1%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and 9.4% of consolidated gross written premiums and 33.9%, 24.1% and 13.2% of the Excess and Surplus Lines segment’s gross written premiums, respectively. The Company has agency contracts with various branches within the aforementioned brokers. No other broker generated 10.0% or more of the gross written premiums for the Excess and Surplus Lines segment for the year ended December 31, 2024. No individual insured generated 10.0% or more of the gross written premiums for the Excess and Surplus Lines segment for the year ended December 31, 2024.</w:t>
      </w:r>
    </w:p>
    <w:p>
      <w:pPr>
        <w:spacing w:after="0" w:line="74" w:lineRule="exact"/>
        <w:rPr>
          <w:sz w:val="20"/>
          <w:szCs w:val="20"/>
          <w:color w:val="auto"/>
        </w:rPr>
      </w:pPr>
    </w:p>
    <w:p>
      <w:pPr>
        <w:ind w:right="60" w:firstLine="363"/>
        <w:spacing w:after="0" w:line="256" w:lineRule="auto"/>
        <w:rPr>
          <w:sz w:val="20"/>
          <w:szCs w:val="20"/>
          <w:color w:val="auto"/>
        </w:rPr>
      </w:pPr>
      <w:r>
        <w:rPr>
          <w:rFonts w:ascii="Times New Roman" w:cs="Times New Roman" w:eastAsia="Times New Roman" w:hAnsi="Times New Roman"/>
          <w:sz w:val="18"/>
          <w:szCs w:val="18"/>
          <w:color w:val="auto"/>
        </w:rPr>
        <w:t>The Specialty Admitted Insurance segment accepts applications for insurance from a variety of sources, including program administrators and managing general agents (“MGAs”). The Company does business with two agencies that generated $175.7 million and $63.7 million of gross written premiums for the Specialty Admitted Insurance segment for the year ended December 31, 2024, representing 12.3% and 4.5% of consolidated gross written premiums and 42.4% and 15.4% of the Specialty Admitted Insurance segment’s gross written premiums, respectively. No other agency generated 10.0% or more of the gross written premiums for the Specialty Admitted Insurance segment for the year ended December 31, 2024.</w:t>
      </w:r>
    </w:p>
    <w:p>
      <w:pPr>
        <w:spacing w:after="0" w:line="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19" w:lineRule="exact"/>
        <w:rPr>
          <w:sz w:val="20"/>
          <w:szCs w:val="20"/>
          <w:color w:val="auto"/>
        </w:rPr>
      </w:pPr>
    </w:p>
    <w:p>
      <w:pPr>
        <w:ind w:right="420" w:firstLine="323"/>
        <w:spacing w:after="0" w:line="259" w:lineRule="auto"/>
        <w:rPr>
          <w:sz w:val="20"/>
          <w:szCs w:val="20"/>
          <w:color w:val="auto"/>
        </w:rPr>
      </w:pPr>
      <w:r>
        <w:rPr>
          <w:rFonts w:ascii="Times New Roman" w:cs="Times New Roman" w:eastAsia="Times New Roman" w:hAnsi="Times New Roman"/>
          <w:sz w:val="18"/>
          <w:szCs w:val="18"/>
          <w:color w:val="auto"/>
        </w:rPr>
        <w:t>Three levels of inputs are used to measure fair value of financial instruments: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74" w:lineRule="exact"/>
        <w:rPr>
          <w:sz w:val="20"/>
          <w:szCs w:val="20"/>
          <w:color w:val="auto"/>
        </w:rPr>
      </w:pPr>
    </w:p>
    <w:p>
      <w:pPr>
        <w:ind w:right="500" w:firstLine="363"/>
        <w:spacing w:after="0" w:line="280"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55" w:lineRule="exact"/>
        <w:rPr>
          <w:sz w:val="20"/>
          <w:szCs w:val="20"/>
          <w:color w:val="auto"/>
        </w:rPr>
      </w:pPr>
    </w:p>
    <w:p>
      <w:pPr>
        <w:ind w:firstLine="363"/>
        <w:spacing w:after="0" w:line="271" w:lineRule="auto"/>
        <w:rPr>
          <w:sz w:val="20"/>
          <w:szCs w:val="20"/>
          <w:color w:val="auto"/>
        </w:rPr>
      </w:pPr>
      <w:r>
        <w:rPr>
          <w:rFonts w:ascii="Times New Roman" w:cs="Times New Roman" w:eastAsia="Times New Roman" w:hAnsi="Times New Roman"/>
          <w:sz w:val="17"/>
          <w:szCs w:val="17"/>
          <w:color w:val="auto"/>
        </w:rPr>
        <w:t>The fair values of fixed maturity securities, equity securities, and bank loan participations have been determined using fair value prices provided by the Company's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2022.</w:t>
      </w:r>
    </w:p>
    <w:p>
      <w:pPr>
        <w:spacing w:after="0" w:line="67" w:lineRule="exact"/>
        <w:rPr>
          <w:sz w:val="20"/>
          <w:szCs w:val="20"/>
          <w:color w:val="auto"/>
        </w:rPr>
      </w:pPr>
    </w:p>
    <w:p>
      <w:pPr>
        <w:ind w:firstLine="363"/>
        <w:spacing w:after="0" w:line="254" w:lineRule="auto"/>
        <w:rPr>
          <w:sz w:val="20"/>
          <w:szCs w:val="20"/>
          <w:color w:val="auto"/>
        </w:rPr>
      </w:pPr>
      <w:r>
        <w:rPr>
          <w:rFonts w:ascii="Times New Roman" w:cs="Times New Roman" w:eastAsia="Times New Roman" w:hAnsi="Times New Roman"/>
          <w:sz w:val="18"/>
          <w:szCs w:val="18"/>
          <w:color w:val="auto"/>
        </w:rPr>
        <w:t>The Company reviews fair value prices provided by its outside investment accounting service provider or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the investment manager that obtains fair values from independent pricing services.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December 31, 2024 are summarized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0"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40" w:type="dxa"/>
            <w:vAlign w:val="bottom"/>
          </w:tcPr>
          <w:p>
            <w:pPr>
              <w:spacing w:after="0"/>
              <w:rPr>
                <w:sz w:val="11"/>
                <w:szCs w:val="11"/>
                <w:color w:val="auto"/>
              </w:rPr>
            </w:pPr>
          </w:p>
        </w:tc>
        <w:tc>
          <w:tcPr>
            <w:tcW w:w="1300" w:type="dxa"/>
            <w:vAlign w:val="bottom"/>
            <w:gridSpan w:val="2"/>
          </w:tcPr>
          <w:p>
            <w:pPr>
              <w:jc w:val="center"/>
              <w:ind w:right="360"/>
              <w:spacing w:after="0" w:line="130"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00" w:type="dxa"/>
            <w:vAlign w:val="bottom"/>
          </w:tcPr>
          <w:p>
            <w:pPr>
              <w:spacing w:after="0"/>
              <w:rPr>
                <w:sz w:val="11"/>
                <w:szCs w:val="11"/>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40" w:type="dxa"/>
            <w:vAlign w:val="bottom"/>
          </w:tcPr>
          <w:p>
            <w:pPr>
              <w:spacing w:after="0"/>
              <w:rPr>
                <w:sz w:val="11"/>
                <w:szCs w:val="11"/>
                <w:color w:val="auto"/>
              </w:rPr>
            </w:pPr>
          </w:p>
        </w:tc>
        <w:tc>
          <w:tcPr>
            <w:tcW w:w="13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8"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8"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8" w:lineRule="exact"/>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2"/>
                <w:szCs w:val="12"/>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municipal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196,564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196,564</w:t>
            </w:r>
          </w:p>
        </w:tc>
        <w:tc>
          <w:tcPr>
            <w:tcW w:w="0" w:type="dxa"/>
            <w:vAlign w:val="bottom"/>
          </w:tcPr>
          <w:p>
            <w:pPr>
              <w:spacing w:after="0"/>
              <w:rPr>
                <w:sz w:val="1"/>
                <w:szCs w:val="1"/>
                <w:color w:val="auto"/>
              </w:rPr>
            </w:pPr>
          </w:p>
        </w:tc>
      </w:tr>
      <w:tr>
        <w:trPr>
          <w:trHeight w:val="22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326,227</w:t>
            </w:r>
          </w:p>
        </w:tc>
        <w:tc>
          <w:tcPr>
            <w:tcW w:w="0" w:type="dxa"/>
            <w:vAlign w:val="bottom"/>
          </w:tcPr>
          <w:p>
            <w:pPr>
              <w:spacing w:after="0"/>
              <w:rPr>
                <w:sz w:val="1"/>
                <w:szCs w:val="1"/>
                <w:color w:val="auto"/>
              </w:rPr>
            </w:pPr>
          </w:p>
        </w:tc>
      </w:tr>
      <w:tr>
        <w:trPr>
          <w:trHeight w:val="228"/>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475,485</w:t>
            </w:r>
          </w:p>
        </w:tc>
        <w:tc>
          <w:tcPr>
            <w:tcW w:w="0" w:type="dxa"/>
            <w:vAlign w:val="bottom"/>
          </w:tcPr>
          <w:p>
            <w:pPr>
              <w:spacing w:after="0"/>
              <w:rPr>
                <w:sz w:val="1"/>
                <w:szCs w:val="1"/>
                <w:color w:val="auto"/>
              </w:rPr>
            </w:pPr>
          </w:p>
        </w:tc>
      </w:tr>
      <w:tr>
        <w:trPr>
          <w:trHeight w:val="22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170,458</w:t>
            </w:r>
          </w:p>
        </w:tc>
        <w:tc>
          <w:tcPr>
            <w:tcW w:w="0" w:type="dxa"/>
            <w:vAlign w:val="bottom"/>
          </w:tcPr>
          <w:p>
            <w:pPr>
              <w:spacing w:after="0"/>
              <w:rPr>
                <w:sz w:val="1"/>
                <w:szCs w:val="1"/>
                <w:color w:val="auto"/>
              </w:rPr>
            </w:pPr>
          </w:p>
        </w:tc>
      </w:tr>
      <w:tr>
        <w:trPr>
          <w:trHeight w:val="175"/>
        </w:trPr>
        <w:tc>
          <w:tcPr>
            <w:tcW w:w="5180" w:type="dxa"/>
            <w:vAlign w:val="bottom"/>
          </w:tcPr>
          <w:p>
            <w:pPr>
              <w:ind w:left="180"/>
              <w:spacing w:after="0" w:line="175"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government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0" w:type="dxa"/>
            <w:vAlign w:val="bottom"/>
          </w:tcPr>
          <w:p>
            <w:pPr>
              <w:spacing w:after="0"/>
              <w:rPr>
                <w:sz w:val="1"/>
                <w:szCs w:val="1"/>
                <w:color w:val="auto"/>
              </w:rPr>
            </w:pPr>
          </w:p>
        </w:tc>
      </w:tr>
      <w:tr>
        <w:trPr>
          <w:trHeight w:val="247"/>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1,168,734</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1,189,733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1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71,245</w:t>
            </w:r>
          </w:p>
        </w:tc>
        <w:tc>
          <w:tcPr>
            <w:tcW w:w="0" w:type="dxa"/>
            <w:vAlign w:val="bottom"/>
          </w:tcPr>
          <w:p>
            <w:pPr>
              <w:spacing w:after="0"/>
              <w:rPr>
                <w:sz w:val="1"/>
                <w:szCs w:val="1"/>
                <w:color w:val="auto"/>
              </w:rPr>
            </w:pPr>
          </w:p>
        </w:tc>
      </w:tr>
      <w:tr>
        <w:trPr>
          <w:trHeight w:val="228"/>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15,234</w:t>
            </w:r>
          </w:p>
        </w:tc>
        <w:tc>
          <w:tcPr>
            <w:tcW w:w="0" w:type="dxa"/>
            <w:vAlign w:val="bottom"/>
          </w:tcPr>
          <w:p>
            <w:pPr>
              <w:spacing w:after="0"/>
              <w:rPr>
                <w:sz w:val="1"/>
                <w:szCs w:val="1"/>
                <w:color w:val="auto"/>
              </w:rPr>
            </w:pPr>
          </w:p>
        </w:tc>
      </w:tr>
      <w:tr>
        <w:trPr>
          <w:trHeight w:val="22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86,479</w:t>
            </w:r>
          </w:p>
        </w:tc>
        <w:tc>
          <w:tcPr>
            <w:tcW w:w="0" w:type="dxa"/>
            <w:vAlign w:val="bottom"/>
          </w:tcPr>
          <w:p>
            <w:pPr>
              <w:spacing w:after="0"/>
              <w:rPr>
                <w:sz w:val="1"/>
                <w:szCs w:val="1"/>
                <w:color w:val="auto"/>
              </w:rPr>
            </w:pPr>
          </w:p>
        </w:tc>
      </w:tr>
      <w:tr>
        <w:trPr>
          <w:trHeight w:val="195"/>
        </w:trPr>
        <w:tc>
          <w:tcPr>
            <w:tcW w:w="51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Bank loan participations</w:t>
            </w:r>
          </w:p>
        </w:tc>
        <w:tc>
          <w:tcPr>
            <w:tcW w:w="1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5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142,410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3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142,410</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82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December 31, 2023 are summarized below:</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40" w:type="dxa"/>
            <w:vAlign w:val="bottom"/>
          </w:tcPr>
          <w:p>
            <w:pPr>
              <w:spacing w:after="0"/>
              <w:rPr>
                <w:sz w:val="11"/>
                <w:szCs w:val="11"/>
                <w:color w:val="auto"/>
              </w:rPr>
            </w:pPr>
          </w:p>
        </w:tc>
        <w:tc>
          <w:tcPr>
            <w:tcW w:w="1300" w:type="dxa"/>
            <w:vAlign w:val="bottom"/>
            <w:gridSpan w:val="2"/>
          </w:tcPr>
          <w:p>
            <w:pPr>
              <w:jc w:val="center"/>
              <w:ind w:right="360"/>
              <w:spacing w:after="0" w:line="128"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00" w:type="dxa"/>
            <w:vAlign w:val="bottom"/>
          </w:tcPr>
          <w:p>
            <w:pPr>
              <w:spacing w:after="0"/>
              <w:rPr>
                <w:sz w:val="11"/>
                <w:szCs w:val="11"/>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1"/>
                <w:szCs w:val="11"/>
                <w:color w:val="auto"/>
              </w:rPr>
            </w:pPr>
          </w:p>
        </w:tc>
        <w:tc>
          <w:tcPr>
            <w:tcW w:w="13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8"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8"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8"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8"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8" w:lineRule="exact"/>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2"/>
                <w:szCs w:val="12"/>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4"/>
          </w:tcPr>
          <w:p>
            <w:pPr>
              <w:jc w:val="right"/>
              <w:ind w:right="1035"/>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municipal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248,837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248,837</w:t>
            </w:r>
          </w:p>
        </w:tc>
        <w:tc>
          <w:tcPr>
            <w:tcW w:w="0" w:type="dxa"/>
            <w:vAlign w:val="bottom"/>
          </w:tcPr>
          <w:p>
            <w:pPr>
              <w:spacing w:after="0"/>
              <w:rPr>
                <w:sz w:val="1"/>
                <w:szCs w:val="1"/>
                <w:color w:val="auto"/>
              </w:rPr>
            </w:pPr>
          </w:p>
        </w:tc>
      </w:tr>
      <w:tr>
        <w:trPr>
          <w:trHeight w:val="22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317,928</w:t>
            </w:r>
          </w:p>
        </w:tc>
        <w:tc>
          <w:tcPr>
            <w:tcW w:w="0" w:type="dxa"/>
            <w:vAlign w:val="bottom"/>
          </w:tcPr>
          <w:p>
            <w:pPr>
              <w:spacing w:after="0"/>
              <w:rPr>
                <w:sz w:val="1"/>
                <w:szCs w:val="1"/>
                <w:color w:val="auto"/>
              </w:rPr>
            </w:pPr>
          </w:p>
        </w:tc>
      </w:tr>
      <w:tr>
        <w:trPr>
          <w:trHeight w:val="228"/>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505,728</w:t>
            </w:r>
          </w:p>
        </w:tc>
        <w:tc>
          <w:tcPr>
            <w:tcW w:w="0" w:type="dxa"/>
            <w:vAlign w:val="bottom"/>
          </w:tcPr>
          <w:p>
            <w:pPr>
              <w:spacing w:after="0"/>
              <w:rPr>
                <w:sz w:val="1"/>
                <w:szCs w:val="1"/>
                <w:color w:val="auto"/>
              </w:rPr>
            </w:pPr>
          </w:p>
        </w:tc>
      </w:tr>
      <w:tr>
        <w:trPr>
          <w:trHeight w:val="22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222,853</w:t>
            </w:r>
          </w:p>
        </w:tc>
        <w:tc>
          <w:tcPr>
            <w:tcW w:w="0" w:type="dxa"/>
            <w:vAlign w:val="bottom"/>
          </w:tcPr>
          <w:p>
            <w:pPr>
              <w:spacing w:after="0"/>
              <w:rPr>
                <w:sz w:val="1"/>
                <w:szCs w:val="1"/>
                <w:color w:val="auto"/>
              </w:rPr>
            </w:pPr>
          </w:p>
        </w:tc>
      </w:tr>
      <w:tr>
        <w:trPr>
          <w:trHeight w:val="175"/>
        </w:trPr>
        <w:tc>
          <w:tcPr>
            <w:tcW w:w="5180" w:type="dxa"/>
            <w:vAlign w:val="bottom"/>
          </w:tcPr>
          <w:p>
            <w:pPr>
              <w:ind w:left="140"/>
              <w:spacing w:after="0" w:line="175"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government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29,130</w:t>
            </w:r>
          </w:p>
        </w:tc>
        <w:tc>
          <w:tcPr>
            <w:tcW w:w="0" w:type="dxa"/>
            <w:vAlign w:val="bottom"/>
          </w:tcPr>
          <w:p>
            <w:pPr>
              <w:spacing w:after="0"/>
              <w:rPr>
                <w:sz w:val="1"/>
                <w:szCs w:val="1"/>
                <w:color w:val="auto"/>
              </w:rPr>
            </w:pPr>
          </w:p>
        </w:tc>
      </w:tr>
      <w:tr>
        <w:trPr>
          <w:trHeight w:val="247"/>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1,324,476</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1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69,310</w:t>
            </w:r>
          </w:p>
        </w:tc>
        <w:tc>
          <w:tcPr>
            <w:tcW w:w="0" w:type="dxa"/>
            <w:vAlign w:val="bottom"/>
          </w:tcPr>
          <w:p>
            <w:pPr>
              <w:spacing w:after="0"/>
              <w:rPr>
                <w:sz w:val="1"/>
                <w:szCs w:val="1"/>
                <w:color w:val="auto"/>
              </w:rPr>
            </w:pPr>
          </w:p>
        </w:tc>
      </w:tr>
      <w:tr>
        <w:trPr>
          <w:trHeight w:val="228"/>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50,635</w:t>
            </w:r>
          </w:p>
        </w:tc>
        <w:tc>
          <w:tcPr>
            <w:tcW w:w="0" w:type="dxa"/>
            <w:vAlign w:val="bottom"/>
          </w:tcPr>
          <w:p>
            <w:pPr>
              <w:spacing w:after="0"/>
              <w:rPr>
                <w:sz w:val="1"/>
                <w:szCs w:val="1"/>
                <w:color w:val="auto"/>
              </w:rPr>
            </w:pPr>
          </w:p>
        </w:tc>
      </w:tr>
      <w:tr>
        <w:trPr>
          <w:trHeight w:val="247"/>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1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Bank loan participations</w:t>
            </w:r>
          </w:p>
        </w:tc>
        <w:tc>
          <w:tcPr>
            <w:tcW w:w="1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156,169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156,169</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72,137</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8"/>
        </w:trPr>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F-57</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right="340" w:firstLine="363"/>
        <w:spacing w:after="0" w:line="280" w:lineRule="auto"/>
        <w:rPr>
          <w:sz w:val="20"/>
          <w:szCs w:val="20"/>
          <w:color w:val="auto"/>
        </w:rPr>
      </w:pPr>
      <w:r>
        <w:rPr>
          <w:rFonts w:ascii="Times New Roman" w:cs="Times New Roman" w:eastAsia="Times New Roman" w:hAnsi="Times New Roman"/>
          <w:sz w:val="18"/>
          <w:szCs w:val="18"/>
          <w:color w:val="auto"/>
        </w:rPr>
        <w:t>A reconciliation of the beginning and ending balances of available-for-sale fixed maturity securities, equity securities, and bank loan participations measured at fair value on a recurring basis using significant unobservable inputs (Level 3) is shown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5"/>
        </w:trPr>
        <w:tc>
          <w:tcPr>
            <w:tcW w:w="7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7040" w:type="dxa"/>
            <w:vAlign w:val="bottom"/>
          </w:tcPr>
          <w:p>
            <w:pPr>
              <w:spacing w:after="0"/>
              <w:rPr>
                <w:sz w:val="16"/>
                <w:szCs w:val="16"/>
                <w:color w:val="auto"/>
              </w:rPr>
            </w:pPr>
          </w:p>
        </w:tc>
        <w:tc>
          <w:tcPr>
            <w:tcW w:w="9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in to Level 3</w:t>
            </w:r>
          </w:p>
        </w:tc>
        <w:tc>
          <w:tcPr>
            <w:tcW w:w="9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out of Level 3</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9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calls and paydowns</w:t>
            </w:r>
          </w:p>
        </w:tc>
        <w:tc>
          <w:tcPr>
            <w:tcW w:w="9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discount</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gains or losses (realized/unrealized):</w:t>
            </w: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8"/>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Included in earnings</w:t>
            </w: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8"/>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9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6216015</wp:posOffset>
            </wp:positionH>
            <wp:positionV relativeFrom="paragraph">
              <wp:posOffset>-1774190</wp:posOffset>
            </wp:positionV>
            <wp:extent cx="679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6">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held one equity security at December 31, 2024 for which the fair value was determined using significant unobservable inputs (Level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$5,000 for the equity security was obtained from our asset manager and was derived from an internal model.</w:t>
      </w:r>
    </w:p>
    <w:p>
      <w:pPr>
        <w:spacing w:after="0" w:line="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held one equity security at December 31, 2023 for which the fair value was determined using significant unobservable inputs (Level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$11,000 for the equity security was obtained from our asset manager and was derived from an internal model.</w:t>
      </w:r>
    </w:p>
    <w:p>
      <w:pPr>
        <w:spacing w:after="0" w:line="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held one equity security at December 31, 2022 for which the fair value was determined using significant unobservable inputs (Level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$7,000 for the equity security was obtained from our asset manager and was derived from an internal model.</w:t>
      </w:r>
    </w:p>
    <w:p>
      <w:pPr>
        <w:spacing w:after="0" w:line="97" w:lineRule="exact"/>
        <w:rPr>
          <w:sz w:val="20"/>
          <w:szCs w:val="20"/>
          <w:color w:val="auto"/>
        </w:rPr>
      </w:pPr>
    </w:p>
    <w:p>
      <w:pPr>
        <w:jc w:val="both"/>
        <w:ind w:right="60" w:firstLine="363"/>
        <w:spacing w:after="0" w:line="264" w:lineRule="auto"/>
        <w:rPr>
          <w:sz w:val="20"/>
          <w:szCs w:val="20"/>
          <w:color w:val="auto"/>
        </w:rPr>
      </w:pPr>
      <w:r>
        <w:rPr>
          <w:rFonts w:ascii="Times New Roman" w:cs="Times New Roman" w:eastAsia="Times New Roman" w:hAnsi="Times New Roman"/>
          <w:sz w:val="18"/>
          <w:szCs w:val="18"/>
          <w:color w:val="auto"/>
        </w:rPr>
        <w:t>Transfers out of Level 3 occur when the Company is able to obtain reliable prices from pricing vendors for which the Company was previously unable to obtain reliable prices. Transfers in to Level 3 occur when the Company is unable to obtain reliable prices for securities from pricing vendors and instead must use broker price quotes.</w:t>
      </w:r>
    </w:p>
    <w:p>
      <w:pPr>
        <w:spacing w:after="0" w:line="69" w:lineRule="exact"/>
        <w:rPr>
          <w:sz w:val="20"/>
          <w:szCs w:val="20"/>
          <w:color w:val="auto"/>
        </w:rPr>
      </w:pPr>
    </w:p>
    <w:p>
      <w:pPr>
        <w:ind w:firstLine="363"/>
        <w:spacing w:after="0" w:line="280" w:lineRule="auto"/>
        <w:rPr>
          <w:sz w:val="20"/>
          <w:szCs w:val="20"/>
          <w:color w:val="auto"/>
        </w:rPr>
      </w:pPr>
      <w:r>
        <w:rPr>
          <w:rFonts w:ascii="Times New Roman" w:cs="Times New Roman" w:eastAsia="Times New Roman" w:hAnsi="Times New Roman"/>
          <w:sz w:val="18"/>
          <w:szCs w:val="18"/>
          <w:color w:val="auto"/>
        </w:rPr>
        <w:t>There were no transfers between Level 1 and Level 2 during 2024, 2023 or 2022. The Company recognizes transfers between levels at the beginning of the reporting period.</w:t>
      </w:r>
    </w:p>
    <w:p>
      <w:pPr>
        <w:spacing w:after="0" w:line="55" w:lineRule="exact"/>
        <w:rPr>
          <w:sz w:val="20"/>
          <w:szCs w:val="20"/>
          <w:color w:val="auto"/>
        </w:rPr>
      </w:pPr>
    </w:p>
    <w:p>
      <w:pPr>
        <w:ind w:right="20" w:firstLine="363"/>
        <w:spacing w:after="0" w:line="255" w:lineRule="auto"/>
        <w:rPr>
          <w:sz w:val="20"/>
          <w:szCs w:val="20"/>
          <w:color w:val="auto"/>
        </w:rPr>
      </w:pPr>
      <w:r>
        <w:rPr>
          <w:rFonts w:ascii="Times New Roman" w:cs="Times New Roman" w:eastAsia="Times New Roman" w:hAnsi="Times New Roman"/>
          <w:sz w:val="18"/>
          <w:szCs w:val="18"/>
          <w:color w:val="auto"/>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78" w:lineRule="exact"/>
        <w:rPr>
          <w:sz w:val="20"/>
          <w:szCs w:val="20"/>
          <w:color w:val="auto"/>
        </w:rPr>
      </w:pPr>
    </w:p>
    <w:p>
      <w:pPr>
        <w:ind w:right="380" w:firstLine="363"/>
        <w:spacing w:after="0" w:line="273" w:lineRule="auto"/>
        <w:rPr>
          <w:sz w:val="20"/>
          <w:szCs w:val="20"/>
          <w:color w:val="auto"/>
        </w:rPr>
      </w:pPr>
      <w:r>
        <w:rPr>
          <w:rFonts w:ascii="Times New Roman" w:cs="Times New Roman" w:eastAsia="Times New Roman" w:hAnsi="Times New Roman"/>
          <w:sz w:val="17"/>
          <w:szCs w:val="17"/>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There were no investments for which external sources were unavailable to determine fair value as of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carrying values and fair values of financial instruments are summarized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bottom w:val="single" w:sz="8" w:color="auto"/>
            </w:tcBorders>
          </w:tcPr>
          <w:p>
            <w:pPr>
              <w:spacing w:after="0"/>
              <w:rPr>
                <w:sz w:val="16"/>
                <w:szCs w:val="16"/>
                <w:color w:val="auto"/>
              </w:rPr>
            </w:pPr>
          </w:p>
        </w:tc>
      </w:tr>
      <w:tr>
        <w:trPr>
          <w:trHeight w:val="137"/>
        </w:trPr>
        <w:tc>
          <w:tcPr>
            <w:tcW w:w="5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ind w:right="335"/>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0" w:type="dxa"/>
            <w:vAlign w:val="bottom"/>
          </w:tcPr>
          <w:p>
            <w:pPr>
              <w:spacing w:after="0"/>
              <w:rPr>
                <w:sz w:val="11"/>
                <w:szCs w:val="11"/>
                <w:color w:val="auto"/>
              </w:rPr>
            </w:pPr>
          </w:p>
        </w:tc>
        <w:tc>
          <w:tcPr>
            <w:tcW w:w="1020" w:type="dxa"/>
            <w:vAlign w:val="bottom"/>
          </w:tcPr>
          <w:p>
            <w:pPr>
              <w:jc w:val="center"/>
              <w:ind w:right="236"/>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jc w:val="right"/>
              <w:ind w:right="315"/>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80" w:type="dxa"/>
            <w:vAlign w:val="bottom"/>
          </w:tcPr>
          <w:p>
            <w:pPr>
              <w:spacing w:after="0"/>
              <w:rPr>
                <w:sz w:val="11"/>
                <w:szCs w:val="11"/>
                <w:color w:val="auto"/>
              </w:rPr>
            </w:pPr>
          </w:p>
        </w:tc>
        <w:tc>
          <w:tcPr>
            <w:tcW w:w="1020" w:type="dxa"/>
            <w:vAlign w:val="bottom"/>
          </w:tcPr>
          <w:p>
            <w:pPr>
              <w:jc w:val="right"/>
              <w:ind w:right="434"/>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3"/>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5"/>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4"/>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1,189,733</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1,189,733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1,324,476</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1,324,476</w:t>
            </w:r>
          </w:p>
        </w:tc>
      </w:tr>
      <w:tr>
        <w:trPr>
          <w:trHeight w:val="22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86,479</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119,945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119,945</w:t>
            </w: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2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142,410</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156,169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156,169</w:t>
            </w:r>
          </w:p>
        </w:tc>
      </w:tr>
      <w:tr>
        <w:trPr>
          <w:trHeight w:val="22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362,345</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274,298</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274,298</w:t>
            </w: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28,705</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72,449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72,449</w:t>
            </w:r>
          </w:p>
        </w:tc>
      </w:tr>
      <w:tr>
        <w:trPr>
          <w:trHeight w:val="22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97,074</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72,137</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72,137</w:t>
            </w: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invested assets – notes receivable</w:t>
            </w:r>
          </w:p>
        </w:tc>
        <w:tc>
          <w:tcPr>
            <w:tcW w:w="2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13,902</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12,174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11,702</w:t>
            </w:r>
          </w:p>
        </w:tc>
      </w:tr>
      <w:tr>
        <w:trPr>
          <w:trHeight w:val="22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debt</w:t>
            </w:r>
          </w:p>
        </w:tc>
        <w:tc>
          <w:tcPr>
            <w:tcW w:w="2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200,800</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222,300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223,408</w:t>
            </w:r>
          </w:p>
        </w:tc>
      </w:tr>
      <w:tr>
        <w:trPr>
          <w:trHeight w:val="22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subordinated debt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104,055</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104,055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138,264</w:t>
            </w:r>
          </w:p>
        </w:tc>
      </w:tr>
    </w:tbl>
    <w:p>
      <w:pPr>
        <w:spacing w:after="0" w:line="183" w:lineRule="exact"/>
        <w:rPr>
          <w:sz w:val="20"/>
          <w:szCs w:val="20"/>
          <w:color w:val="auto"/>
        </w:rPr>
      </w:pPr>
    </w:p>
    <w:p>
      <w:pPr>
        <w:ind w:right="360" w:firstLine="363"/>
        <w:spacing w:after="0" w:line="264" w:lineRule="auto"/>
        <w:rPr>
          <w:sz w:val="20"/>
          <w:szCs w:val="20"/>
          <w:color w:val="auto"/>
        </w:rPr>
      </w:pPr>
      <w:r>
        <w:rPr>
          <w:rFonts w:ascii="Times New Roman" w:cs="Times New Roman" w:eastAsia="Times New Roman" w:hAnsi="Times New Roman"/>
          <w:sz w:val="18"/>
          <w:szCs w:val="18"/>
          <w:color w:val="auto"/>
        </w:rPr>
        <w:t>The fair values of fixed maturity securities, equity securities, and bank loan participations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pacing w:after="0" w:line="69" w:lineRule="exact"/>
        <w:rPr>
          <w:sz w:val="20"/>
          <w:szCs w:val="20"/>
          <w:color w:val="auto"/>
        </w:rPr>
      </w:pPr>
    </w:p>
    <w:p>
      <w:pPr>
        <w:ind w:right="20" w:firstLine="363"/>
        <w:spacing w:after="0" w:line="259" w:lineRule="auto"/>
        <w:rPr>
          <w:sz w:val="20"/>
          <w:szCs w:val="20"/>
          <w:color w:val="auto"/>
        </w:rPr>
      </w:pPr>
      <w:r>
        <w:rPr>
          <w:rFonts w:ascii="Times New Roman" w:cs="Times New Roman" w:eastAsia="Times New Roman" w:hAnsi="Times New Roman"/>
          <w:sz w:val="18"/>
          <w:szCs w:val="18"/>
          <w:color w:val="auto"/>
        </w:rPr>
        <w:t>The fair values of other invested assets-notes receivable, senior debt, and junior subordinated debt at December 31, 2024 and 2023 were determined by calculating the present value of expected future cash flows under the terms of the note agreements or debt agreements, as applicable, discounted at an estimated market rate of interest at December 31, 2024 and 2023, respectively. The Company also utilized an internally developed valuation model based on the spread of a comparable market index to determine the fair value of certain other invested assets-notes receivable at December 31, 2024 and 2023.</w:t>
      </w:r>
    </w:p>
    <w:p>
      <w:pPr>
        <w:spacing w:after="0" w:line="74" w:lineRule="exact"/>
        <w:rPr>
          <w:sz w:val="20"/>
          <w:szCs w:val="20"/>
          <w:color w:val="auto"/>
        </w:rPr>
      </w:pPr>
    </w:p>
    <w:p>
      <w:pPr>
        <w:ind w:right="20" w:firstLine="363"/>
        <w:spacing w:after="0" w:line="280" w:lineRule="auto"/>
        <w:rPr>
          <w:sz w:val="20"/>
          <w:szCs w:val="20"/>
          <w:color w:val="auto"/>
        </w:rPr>
      </w:pPr>
      <w:r>
        <w:rPr>
          <w:rFonts w:ascii="Times New Roman" w:cs="Times New Roman" w:eastAsia="Times New Roman" w:hAnsi="Times New Roman"/>
          <w:sz w:val="18"/>
          <w:szCs w:val="18"/>
          <w:color w:val="auto"/>
        </w:rPr>
        <w:t>The fair values of senior debt and junior subordinated debt at December 31, 2024 and 2023 were determined using inputs to the valuation methodology that are unobservable (Level 3).</w:t>
      </w:r>
    </w:p>
    <w:p>
      <w:pPr>
        <w:spacing w:after="0" w:line="5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Statutory Matters</w:t>
      </w:r>
    </w:p>
    <w:p>
      <w:pPr>
        <w:spacing w:after="0" w:line="119" w:lineRule="exact"/>
        <w:rPr>
          <w:sz w:val="20"/>
          <w:szCs w:val="20"/>
          <w:color w:val="auto"/>
        </w:rPr>
      </w:pPr>
    </w:p>
    <w:p>
      <w:pPr>
        <w:ind w:right="80" w:firstLine="363"/>
        <w:spacing w:after="0" w:line="254" w:lineRule="auto"/>
        <w:rPr>
          <w:sz w:val="20"/>
          <w:szCs w:val="20"/>
          <w:color w:val="auto"/>
        </w:rPr>
      </w:pPr>
      <w:r>
        <w:rPr>
          <w:rFonts w:ascii="Times New Roman" w:cs="Times New Roman" w:eastAsia="Times New Roman" w:hAnsi="Times New Roman"/>
          <w:sz w:val="18"/>
          <w:szCs w:val="18"/>
          <w:color w:val="auto"/>
        </w:rPr>
        <w:t>U.S. state insurance laws and regulations prescribe accounting practices for determining statutory net income and capital and surplus for insurance companies. In addition, state regulators may permit statutory accounting practices that differ from prescribed practices. Statutory accounting practices prescribed or permitted by regulatory authorities for the Company’s insurance subsidiaries differ from U.S. GAAP. The principal differences between SAP and GAAP as they relate to the financial statements of the Company’s insurance subsidiaries are (a) policy acquisition costs are expensed as incurred under SAP, whereas they are deferred and amortized under GAAP, (b) certain assets are not admitted for purposes of determining surplus under SAP, (c) the classification and carrying amounts of investments in certain securities are different under SAP and GAAP, and (d) the criteria for providing asset valuation allowances and the methodologies used to determine the amount thereof are different under SAP and GAAP.</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00" w:lineRule="exact"/>
        <w:rPr>
          <w:sz w:val="20"/>
          <w:szCs w:val="20"/>
          <w:color w:val="auto"/>
        </w:rPr>
      </w:pPr>
    </w:p>
    <w:p>
      <w:pPr>
        <w:spacing w:after="0" w:line="206" w:lineRule="exact"/>
        <w:rPr>
          <w:sz w:val="20"/>
          <w:szCs w:val="20"/>
          <w:color w:val="auto"/>
        </w:rPr>
      </w:pPr>
    </w:p>
    <w:p>
      <w:pPr>
        <w:ind w:right="100" w:firstLine="363"/>
        <w:spacing w:after="0" w:line="310" w:lineRule="auto"/>
        <w:rPr>
          <w:sz w:val="20"/>
          <w:szCs w:val="20"/>
          <w:color w:val="auto"/>
        </w:rPr>
      </w:pPr>
      <w:r>
        <w:rPr>
          <w:rFonts w:ascii="Times New Roman" w:cs="Times New Roman" w:eastAsia="Times New Roman" w:hAnsi="Times New Roman"/>
          <w:sz w:val="17"/>
          <w:szCs w:val="17"/>
          <w:color w:val="auto"/>
        </w:rPr>
        <w:t>Combined net income, statutory capital and surplus and minimum required statutory capital and surplus, as determined in accordance with statutory accounting practices, for the U.S. insurance subsidiaries as of December 31, 2024, 2023, and 2022 and for the years then ended are summarized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18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7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7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net income (loss)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40,731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90,469</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42,565</w:t>
            </w: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capital and surplus</w:t>
            </w: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642,978</w:t>
            </w:r>
          </w:p>
        </w:tc>
        <w:tc>
          <w:tcPr>
            <w:tcW w:w="240" w:type="dxa"/>
            <w:vAlign w:val="bottom"/>
          </w:tcPr>
          <w:p>
            <w:pPr>
              <w:spacing w:after="0"/>
              <w:rPr>
                <w:sz w:val="19"/>
                <w:szCs w:val="19"/>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615,427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493,303</w:t>
            </w: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required statutory capital and surplus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286,392</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220,449</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165,809</w:t>
            </w:r>
          </w:p>
        </w:tc>
      </w:tr>
    </w:tbl>
    <w:p>
      <w:pPr>
        <w:spacing w:after="0" w:line="183" w:lineRule="exact"/>
        <w:rPr>
          <w:sz w:val="20"/>
          <w:szCs w:val="20"/>
          <w:color w:val="auto"/>
        </w:rPr>
      </w:pPr>
    </w:p>
    <w:p>
      <w:pPr>
        <w:ind w:right="100" w:firstLine="363"/>
        <w:spacing w:after="0" w:line="264" w:lineRule="auto"/>
        <w:rPr>
          <w:sz w:val="20"/>
          <w:szCs w:val="20"/>
          <w:color w:val="auto"/>
        </w:rPr>
      </w:pPr>
      <w:r>
        <w:rPr>
          <w:rFonts w:ascii="Times New Roman" w:cs="Times New Roman" w:eastAsia="Times New Roman" w:hAnsi="Times New Roman"/>
          <w:sz w:val="18"/>
          <w:szCs w:val="18"/>
          <w:color w:val="auto"/>
        </w:rPr>
        <w:t>Risk-Based Capital (“RBC”) requirements promulgated by the National Association of Insurance Commissioners require property-casualty insurers to maintain minimum capitalization levels determined based on formulas incorporating various business risks of the insurance subsidiaries. As of December 31, 2024, the insurance subsidiaries’ adjusted capital and surplus exceeds their authorized control level RBC.</w:t>
      </w:r>
    </w:p>
    <w:p>
      <w:pPr>
        <w:spacing w:after="0" w:line="6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Dividend Restrictions</w:t>
      </w:r>
    </w:p>
    <w:p>
      <w:pPr>
        <w:spacing w:after="0" w:line="119" w:lineRule="exact"/>
        <w:rPr>
          <w:sz w:val="20"/>
          <w:szCs w:val="20"/>
          <w:color w:val="auto"/>
        </w:rPr>
      </w:pPr>
    </w:p>
    <w:p>
      <w:pPr>
        <w:ind w:right="240" w:firstLine="363"/>
        <w:spacing w:after="0" w:line="256" w:lineRule="auto"/>
        <w:rPr>
          <w:sz w:val="20"/>
          <w:szCs w:val="20"/>
          <w:color w:val="auto"/>
        </w:rPr>
      </w:pPr>
      <w:r>
        <w:rPr>
          <w:rFonts w:ascii="Times New Roman" w:cs="Times New Roman" w:eastAsia="Times New Roman" w:hAnsi="Times New Roman"/>
          <w:sz w:val="18"/>
          <w:szCs w:val="18"/>
          <w:color w:val="auto"/>
        </w:rPr>
        <w:t>The insurance statutes of the U.S.-based insurance subsidiaries’ states of domicile limit the amount of dividends that they may pay annually without first obtaining regulatory approval. Generally, the limitations are based on the greater of statutory net income for the preceding year or 10.0% of statutory surplus at the end of the preceding year. The maximum amount of dividends available to James River Group from its U.S. insurance subsidiaries during 2025 without regulatory approval is $64.3 million. However, U.S. insurance regulators have broad powers to prevent the reduction of statutory surplus to inadequate levels and could refuse to permit the payment of dividends.</w:t>
      </w:r>
    </w:p>
    <w:p>
      <w:pPr>
        <w:spacing w:after="0" w:line="79" w:lineRule="exact"/>
        <w:rPr>
          <w:sz w:val="20"/>
          <w:szCs w:val="20"/>
          <w:color w:val="auto"/>
        </w:rPr>
      </w:pPr>
    </w:p>
    <w:p>
      <w:pPr>
        <w:ind w:right="240" w:firstLine="363"/>
        <w:spacing w:after="0" w:line="259" w:lineRule="auto"/>
        <w:rPr>
          <w:sz w:val="20"/>
          <w:szCs w:val="20"/>
          <w:color w:val="auto"/>
        </w:rPr>
      </w:pPr>
      <w:r>
        <w:rPr>
          <w:rFonts w:ascii="Times New Roman" w:cs="Times New Roman" w:eastAsia="Times New Roman" w:hAnsi="Times New Roman"/>
          <w:sz w:val="18"/>
          <w:szCs w:val="18"/>
          <w:color w:val="auto"/>
        </w:rPr>
        <w:t>Distributions from the Company’s U.S.-based subsidiaries to its U.K. intermediate holding company, James River UK, are generally subject to a 5% dividend withholding tax. The payment of any dividends by the Company’s U.S.-based subsidiaries directly to a Bermuda-based entity is subject to U.S. taxes at a 30.0% tax rate. JRG Holdings has determined that earnings of its U.S. subsidiaries have been and will be indefinitely reinvested in U.S. operations.</w:t>
      </w:r>
    </w:p>
    <w:p>
      <w:pPr>
        <w:spacing w:after="0" w:line="7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Other Related Party Transactions</w:t>
      </w:r>
    </w:p>
    <w:p>
      <w:pPr>
        <w:spacing w:after="0" w:line="119" w:lineRule="exact"/>
        <w:rPr>
          <w:sz w:val="20"/>
          <w:szCs w:val="20"/>
          <w:color w:val="auto"/>
        </w:rPr>
      </w:pPr>
    </w:p>
    <w:p>
      <w:pPr>
        <w:ind w:right="120" w:firstLine="363"/>
        <w:spacing w:after="0" w:line="264" w:lineRule="auto"/>
        <w:rPr>
          <w:sz w:val="20"/>
          <w:szCs w:val="20"/>
          <w:color w:val="auto"/>
        </w:rPr>
      </w:pPr>
      <w:r>
        <w:rPr>
          <w:rFonts w:ascii="Times New Roman" w:cs="Times New Roman" w:eastAsia="Times New Roman" w:hAnsi="Times New Roman"/>
          <w:sz w:val="18"/>
          <w:szCs w:val="18"/>
          <w:color w:val="auto"/>
        </w:rPr>
        <w:t>The Company leases a commercial office building which houses the Company’s Richmond, Virginia operations under the terms of a non-cancelable lease from an entity with which it is affiliated. The term of the lease, which has been amended from time to time, runs through 2026. Operating costs under the lease were $2.1 million for each of the years ended December 31, 2024, 2023, and 2022, respectively.</w:t>
      </w:r>
    </w:p>
    <w:p>
      <w:pPr>
        <w:spacing w:after="0" w:line="6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19" w:lineRule="exact"/>
        <w:rPr>
          <w:sz w:val="20"/>
          <w:szCs w:val="20"/>
          <w:color w:val="auto"/>
        </w:rPr>
      </w:pPr>
    </w:p>
    <w:p>
      <w:pPr>
        <w:ind w:firstLine="363"/>
        <w:spacing w:after="0" w:line="264" w:lineRule="auto"/>
        <w:rPr>
          <w:sz w:val="20"/>
          <w:szCs w:val="20"/>
          <w:color w:val="auto"/>
        </w:rPr>
      </w:pPr>
      <w:r>
        <w:rPr>
          <w:rFonts w:ascii="Times New Roman" w:cs="Times New Roman" w:eastAsia="Times New Roman" w:hAnsi="Times New Roman"/>
          <w:sz w:val="18"/>
          <w:szCs w:val="18"/>
          <w:color w:val="auto"/>
        </w:rPr>
        <w:t>On January 27, 2025, the Company borrowed $25.0 million on the unsecured revolver of the 2013 Facility, increasing the outstanding drawn balance to $210.8 million. The Company remains in compliance with financial and other covenants (including minimum net worth, maximum ratio of total adjusted debt outstanding to total capitalization, and financial strength ratings) under the 2013 Facility after giving effect to this borrowing.</w:t>
      </w:r>
    </w:p>
    <w:p>
      <w:pPr>
        <w:spacing w:after="0" w:line="69" w:lineRule="exact"/>
        <w:rPr>
          <w:sz w:val="20"/>
          <w:szCs w:val="20"/>
          <w:color w:val="auto"/>
        </w:rPr>
      </w:pPr>
    </w:p>
    <w:p>
      <w:pPr>
        <w:ind w:right="380" w:firstLine="363"/>
        <w:spacing w:after="0" w:line="280" w:lineRule="auto"/>
        <w:rPr>
          <w:sz w:val="20"/>
          <w:szCs w:val="20"/>
          <w:color w:val="auto"/>
        </w:rPr>
      </w:pPr>
      <w:r>
        <w:rPr>
          <w:rFonts w:ascii="Times New Roman" w:cs="Times New Roman" w:eastAsia="Times New Roman" w:hAnsi="Times New Roman"/>
          <w:sz w:val="18"/>
          <w:szCs w:val="18"/>
          <w:color w:val="auto"/>
        </w:rPr>
        <w:t>On February 20, 2025, the Board of Directors declared a cash dividend of $0.01 per common share. The dividend is payable on March 31, 2025 to shareholders of record on March 10, 2025.</w:t>
      </w:r>
    </w:p>
    <w:p>
      <w:pPr>
        <w:spacing w:after="0" w:line="55" w:lineRule="exact"/>
        <w:rPr>
          <w:sz w:val="20"/>
          <w:szCs w:val="20"/>
          <w:color w:val="auto"/>
        </w:rPr>
      </w:pPr>
    </w:p>
    <w:p>
      <w:pPr>
        <w:ind w:firstLine="323"/>
        <w:spacing w:after="0" w:line="280" w:lineRule="auto"/>
        <w:rPr>
          <w:sz w:val="20"/>
          <w:szCs w:val="20"/>
          <w:color w:val="auto"/>
        </w:rPr>
      </w:pPr>
      <w:r>
        <w:rPr>
          <w:rFonts w:ascii="Times New Roman" w:cs="Times New Roman" w:eastAsia="Times New Roman" w:hAnsi="Times New Roman"/>
          <w:sz w:val="18"/>
          <w:szCs w:val="18"/>
          <w:color w:val="auto"/>
        </w:rPr>
        <w:t>On February 20, 2025, the Board of Directors declared a quarterly dividend on the Series A Preferred Shares. The dividend of $2.0 million will be payable in cash on March 31, 2025 to shareholders of record on March 15, 2025.</w:t>
      </w:r>
    </w:p>
    <w:p>
      <w:pPr>
        <w:spacing w:after="0" w:line="55" w:lineRule="exact"/>
        <w:rPr>
          <w:sz w:val="20"/>
          <w:szCs w:val="20"/>
          <w:color w:val="auto"/>
        </w:rPr>
      </w:pPr>
    </w:p>
    <w:p>
      <w:pPr>
        <w:ind w:firstLine="323"/>
        <w:spacing w:after="0" w:line="280" w:lineRule="auto"/>
        <w:rPr>
          <w:sz w:val="20"/>
          <w:szCs w:val="20"/>
          <w:color w:val="auto"/>
        </w:rPr>
      </w:pPr>
      <w:r>
        <w:rPr>
          <w:rFonts w:ascii="Times New Roman" w:cs="Times New Roman" w:eastAsia="Times New Roman" w:hAnsi="Times New Roman"/>
          <w:sz w:val="18"/>
          <w:szCs w:val="18"/>
          <w:color w:val="auto"/>
        </w:rPr>
        <w:t>On February 20, 2025, the Board of Directors approved awards under the 2014 LTIP and the 2014 Director Plan to the Company’s employees and directors with an aggregate fair value of $9.1 million and a grant date of March 5, 2025.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SCHEDULE I</w:t>
            </w:r>
          </w:p>
        </w:tc>
        <w:tc>
          <w:tcPr>
            <w:tcW w:w="0" w:type="dxa"/>
            <w:vAlign w:val="bottom"/>
          </w:tcPr>
          <w:p>
            <w:pPr>
              <w:spacing w:after="0"/>
              <w:rPr>
                <w:sz w:val="1"/>
                <w:szCs w:val="1"/>
                <w:color w:val="auto"/>
              </w:rPr>
            </w:pPr>
          </w:p>
        </w:tc>
      </w:tr>
      <w:tr>
        <w:trPr>
          <w:trHeight w:val="322"/>
        </w:trPr>
        <w:tc>
          <w:tcPr>
            <w:tcW w:w="3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3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JAMES RIVER GROUP HOLDINGS, LTD.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20" w:type="dxa"/>
            <w:vAlign w:val="bottom"/>
          </w:tcPr>
          <w:p>
            <w:pPr>
              <w:spacing w:after="0"/>
              <w:rPr>
                <w:sz w:val="24"/>
                <w:szCs w:val="24"/>
                <w:color w:val="auto"/>
              </w:rPr>
            </w:pPr>
          </w:p>
        </w:tc>
        <w:tc>
          <w:tcPr>
            <w:tcW w:w="8140" w:type="dxa"/>
            <w:vAlign w:val="bottom"/>
            <w:gridSpan w:val="6"/>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9"/>
              </w:rPr>
              <w:t>Summary of Investments—Other than Investments in Related Parties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at</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300" w:type="dxa"/>
            <w:vAlign w:val="bottom"/>
          </w:tcPr>
          <w:p>
            <w:pPr>
              <w:spacing w:after="0"/>
              <w:rPr>
                <w:sz w:val="12"/>
                <w:szCs w:val="12"/>
                <w:color w:val="auto"/>
              </w:rPr>
            </w:pPr>
          </w:p>
        </w:tc>
        <w:tc>
          <w:tcPr>
            <w:tcW w:w="11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11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which shown</w:t>
            </w:r>
          </w:p>
        </w:tc>
        <w:tc>
          <w:tcPr>
            <w:tcW w:w="0" w:type="dxa"/>
            <w:vAlign w:val="bottom"/>
          </w:tcPr>
          <w:p>
            <w:pPr>
              <w:spacing w:after="0"/>
              <w:rPr>
                <w:sz w:val="1"/>
                <w:szCs w:val="1"/>
                <w:color w:val="auto"/>
              </w:rPr>
            </w:pPr>
          </w:p>
        </w:tc>
      </w:tr>
      <w:tr>
        <w:trPr>
          <w:trHeight w:val="148"/>
        </w:trPr>
        <w:tc>
          <w:tcPr>
            <w:tcW w:w="7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on Balance</w:t>
            </w:r>
          </w:p>
        </w:tc>
        <w:tc>
          <w:tcPr>
            <w:tcW w:w="0" w:type="dxa"/>
            <w:vAlign w:val="bottom"/>
          </w:tcPr>
          <w:p>
            <w:pPr>
              <w:spacing w:after="0"/>
              <w:rPr>
                <w:sz w:val="1"/>
                <w:szCs w:val="1"/>
                <w:color w:val="auto"/>
              </w:rPr>
            </w:pPr>
          </w:p>
        </w:tc>
      </w:tr>
      <w:tr>
        <w:trPr>
          <w:trHeight w:val="202"/>
        </w:trPr>
        <w:tc>
          <w:tcPr>
            <w:tcW w:w="704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7"/>
                <w:szCs w:val="17"/>
                <w:color w:val="auto"/>
              </w:rPr>
            </w:pPr>
          </w:p>
        </w:tc>
        <w:tc>
          <w:tcPr>
            <w:tcW w:w="118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4"/>
                <w:szCs w:val="14"/>
                <w:b w:val="1"/>
                <w:bCs w:val="1"/>
                <w:color w:val="auto"/>
                <w:w w:val="94"/>
              </w:rPr>
              <w:t>Sheet</w:t>
            </w:r>
            <w:r>
              <w:rPr>
                <w:rFonts w:ascii="Times New Roman" w:cs="Times New Roman" w:eastAsia="Times New Roman" w:hAnsi="Times New Roman"/>
                <w:sz w:val="18"/>
                <w:szCs w:val="18"/>
                <w:b w:val="1"/>
                <w:bCs w:val="1"/>
                <w:color w:val="auto"/>
                <w:w w:val="94"/>
                <w:vertAlign w:val="superscript"/>
              </w:rPr>
              <w:t>(1)</w:t>
            </w:r>
          </w:p>
        </w:tc>
        <w:tc>
          <w:tcPr>
            <w:tcW w:w="0" w:type="dxa"/>
            <w:vAlign w:val="bottom"/>
          </w:tcPr>
          <w:p>
            <w:pPr>
              <w:spacing w:after="0"/>
              <w:rPr>
                <w:sz w:val="1"/>
                <w:szCs w:val="1"/>
                <w:color w:val="auto"/>
              </w:rPr>
            </w:pPr>
          </w:p>
        </w:tc>
      </w:tr>
      <w:tr>
        <w:trPr>
          <w:trHeight w:val="189"/>
        </w:trPr>
        <w:tc>
          <w:tcPr>
            <w:tcW w:w="32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spacing w:after="0"/>
              <w:rPr>
                <w:sz w:val="16"/>
                <w:szCs w:val="16"/>
                <w:color w:val="auto"/>
              </w:rPr>
            </w:pPr>
          </w:p>
        </w:tc>
        <w:tc>
          <w:tcPr>
            <w:tcW w:w="3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0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State and municipal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223,009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0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0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0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040" w:type="dxa"/>
            <w:vAlign w:val="bottom"/>
            <w:tcBorders>
              <w:bottom w:val="single" w:sz="8" w:color="CCEEFF"/>
            </w:tcBorders>
            <w:gridSpan w:val="4"/>
          </w:tcPr>
          <w:p>
            <w:pPr>
              <w:ind w:left="140"/>
              <w:spacing w:after="0"/>
              <w:rPr>
                <w:sz w:val="20"/>
                <w:szCs w:val="20"/>
                <w:color w:val="auto"/>
              </w:rPr>
            </w:pPr>
            <w:r>
              <w:rPr>
                <w:rFonts w:ascii="Times New Roman" w:cs="Times New Roman" w:eastAsia="Times New Roman" w:hAnsi="Times New Roman"/>
                <w:sz w:val="18"/>
                <w:szCs w:val="18"/>
                <w:color w:val="auto"/>
              </w:rPr>
              <w:t>U.S. Treasury securities and obligations guaranteed by the U.S. government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0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040" w:type="dxa"/>
            <w:vAlign w:val="bottom"/>
            <w:tcBorders>
              <w:bottom w:val="single" w:sz="8" w:color="CCEEFF"/>
            </w:tcBorders>
            <w:gridSpan w:val="4"/>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securities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0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invested assets</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0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invested assets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1,544,706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20" w:type="dxa"/>
            <w:vAlign w:val="bottom"/>
          </w:tcPr>
          <w:p>
            <w:pPr>
              <w:spacing w:after="0"/>
              <w:rPr>
                <w:sz w:val="22"/>
                <w:szCs w:val="22"/>
                <w:color w:val="auto"/>
              </w:rPr>
            </w:pPr>
          </w:p>
        </w:tc>
        <w:tc>
          <w:tcPr>
            <w:tcW w:w="2760" w:type="dxa"/>
            <w:vAlign w:val="bottom"/>
            <w:tcBorders>
              <w:bottom w:val="single" w:sz="8" w:color="auto"/>
            </w:tcBorders>
          </w:tcPr>
          <w:p>
            <w:pPr>
              <w:spacing w:after="0"/>
              <w:rPr>
                <w:sz w:val="22"/>
                <w:szCs w:val="22"/>
                <w:color w:val="auto"/>
              </w:rPr>
            </w:pPr>
          </w:p>
        </w:tc>
        <w:tc>
          <w:tcPr>
            <w:tcW w:w="3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right="200" w:hanging="333"/>
        <w:spacing w:after="0" w:line="280" w:lineRule="auto"/>
        <w:tabs>
          <w:tab w:leader="none" w:pos="40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amounts in this column and the amounts in the consolidated balance sheet are due to this schedule excluding investments in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w w:val="96"/>
              </w:rPr>
              <w:t>SCHEDULE II</w:t>
            </w:r>
          </w:p>
        </w:tc>
      </w:tr>
      <w:tr>
        <w:trPr>
          <w:trHeight w:val="322"/>
        </w:trPr>
        <w:tc>
          <w:tcPr>
            <w:tcW w:w="846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JAMES RIVER GROUP HOLDINGS, LTD. AND SUBSIDIARIES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2"/>
        </w:trPr>
        <w:tc>
          <w:tcPr>
            <w:tcW w:w="846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Condensed Financial Information of Registrant</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2"/>
        </w:trPr>
        <w:tc>
          <w:tcPr>
            <w:tcW w:w="846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Balance Sheets (Parent Company)</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0"/>
        </w:trPr>
        <w:tc>
          <w:tcPr>
            <w:tcW w:w="8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8"/>
        </w:trPr>
        <w:tc>
          <w:tcPr>
            <w:tcW w:w="8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r>
      <w:tr>
        <w:trPr>
          <w:trHeight w:val="196"/>
        </w:trPr>
        <w:tc>
          <w:tcPr>
            <w:tcW w:w="8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40" w:type="dxa"/>
            <w:vAlign w:val="bottom"/>
          </w:tcPr>
          <w:p>
            <w:pPr>
              <w:spacing w:after="0"/>
              <w:rPr>
                <w:sz w:val="19"/>
                <w:szCs w:val="19"/>
                <w:color w:val="auto"/>
              </w:rPr>
            </w:pPr>
          </w:p>
        </w:tc>
      </w:tr>
      <w:tr>
        <w:trPr>
          <w:trHeight w:val="228"/>
        </w:trPr>
        <w:tc>
          <w:tcPr>
            <w:tcW w:w="84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Investment in subsidiaries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894,848</w:t>
            </w:r>
          </w:p>
        </w:tc>
        <w:tc>
          <w:tcPr>
            <w:tcW w:w="40" w:type="dxa"/>
            <w:vAlign w:val="bottom"/>
          </w:tcPr>
          <w:p>
            <w:pPr>
              <w:spacing w:after="0"/>
              <w:rPr>
                <w:sz w:val="19"/>
                <w:szCs w:val="19"/>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subsidiaries</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0" w:type="dxa"/>
            <w:vAlign w:val="bottom"/>
          </w:tcPr>
          <w:p>
            <w:pPr>
              <w:spacing w:after="0"/>
              <w:rPr>
                <w:sz w:val="19"/>
                <w:szCs w:val="19"/>
                <w:color w:val="auto"/>
              </w:rPr>
            </w:pPr>
          </w:p>
        </w:tc>
      </w:tr>
      <w:tr>
        <w:trPr>
          <w:trHeight w:val="228"/>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52,013</w:t>
            </w:r>
          </w:p>
        </w:tc>
        <w:tc>
          <w:tcPr>
            <w:tcW w:w="40" w:type="dxa"/>
            <w:vAlign w:val="bottom"/>
          </w:tcPr>
          <w:p>
            <w:pPr>
              <w:spacing w:after="0"/>
              <w:rPr>
                <w:sz w:val="19"/>
                <w:szCs w:val="19"/>
                <w:color w:val="auto"/>
              </w:rPr>
            </w:pPr>
          </w:p>
        </w:tc>
      </w:tr>
      <w:tr>
        <w:trPr>
          <w:trHeight w:val="222"/>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828,585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948,988</w:t>
            </w:r>
          </w:p>
        </w:tc>
        <w:tc>
          <w:tcPr>
            <w:tcW w:w="40" w:type="dxa"/>
            <w:vAlign w:val="bottom"/>
          </w:tcPr>
          <w:p>
            <w:pPr>
              <w:spacing w:after="0"/>
              <w:rPr>
                <w:sz w:val="19"/>
                <w:szCs w:val="19"/>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84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40" w:type="dxa"/>
            <w:vAlign w:val="bottom"/>
          </w:tcPr>
          <w:p>
            <w:pPr>
              <w:spacing w:after="0"/>
              <w:rPr>
                <w:sz w:val="19"/>
                <w:szCs w:val="19"/>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debt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207,300</w:t>
            </w:r>
          </w:p>
        </w:tc>
        <w:tc>
          <w:tcPr>
            <w:tcW w:w="40" w:type="dxa"/>
            <w:vAlign w:val="bottom"/>
          </w:tcPr>
          <w:p>
            <w:pPr>
              <w:spacing w:after="0"/>
              <w:rPr>
                <w:sz w:val="19"/>
                <w:szCs w:val="19"/>
                <w:color w:val="auto"/>
              </w:rPr>
            </w:pPr>
          </w:p>
        </w:tc>
      </w:tr>
      <w:tr>
        <w:trPr>
          <w:trHeight w:val="228"/>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Junior subordinated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40" w:type="dxa"/>
            <w:vAlign w:val="bottom"/>
          </w:tcPr>
          <w:p>
            <w:pPr>
              <w:spacing w:after="0"/>
              <w:rPr>
                <w:sz w:val="19"/>
                <w:szCs w:val="19"/>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to subsidiaries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8"/>
        </w:trPr>
        <w:tc>
          <w:tcPr>
            <w:tcW w:w="8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42,270</w:t>
            </w:r>
          </w:p>
        </w:tc>
        <w:tc>
          <w:tcPr>
            <w:tcW w:w="40" w:type="dxa"/>
            <w:vAlign w:val="bottom"/>
          </w:tcPr>
          <w:p>
            <w:pPr>
              <w:spacing w:after="0"/>
              <w:rPr>
                <w:sz w:val="19"/>
                <w:szCs w:val="19"/>
                <w:color w:val="auto"/>
              </w:rPr>
            </w:pPr>
          </w:p>
        </w:tc>
      </w:tr>
      <w:tr>
        <w:trPr>
          <w:trHeight w:val="222"/>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269,469</w:t>
            </w:r>
          </w:p>
        </w:tc>
        <w:tc>
          <w:tcPr>
            <w:tcW w:w="40" w:type="dxa"/>
            <w:vAlign w:val="bottom"/>
          </w:tcPr>
          <w:p>
            <w:pPr>
              <w:spacing w:after="0"/>
              <w:rPr>
                <w:sz w:val="19"/>
                <w:szCs w:val="19"/>
                <w:color w:val="auto"/>
              </w:rPr>
            </w:pPr>
          </w:p>
        </w:tc>
      </w:tr>
      <w:tr>
        <w:trPr>
          <w:trHeight w:val="228"/>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redeemable preferred shares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144,898</w:t>
            </w:r>
          </w:p>
        </w:tc>
        <w:tc>
          <w:tcPr>
            <w:tcW w:w="40" w:type="dxa"/>
            <w:vAlign w:val="bottom"/>
          </w:tcPr>
          <w:p>
            <w:pPr>
              <w:spacing w:after="0"/>
              <w:rPr>
                <w:sz w:val="19"/>
                <w:szCs w:val="19"/>
                <w:color w:val="auto"/>
              </w:rPr>
            </w:pPr>
          </w:p>
        </w:tc>
      </w:tr>
      <w:tr>
        <w:trPr>
          <w:trHeight w:val="228"/>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common shares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9"/>
                <w:szCs w:val="19"/>
                <w:color w:val="auto"/>
              </w:rPr>
            </w:pPr>
          </w:p>
        </w:tc>
      </w:tr>
      <w:tr>
        <w:trPr>
          <w:trHeight w:val="228"/>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876,240</w:t>
            </w:r>
          </w:p>
        </w:tc>
        <w:tc>
          <w:tcPr>
            <w:tcW w:w="40" w:type="dxa"/>
            <w:vAlign w:val="bottom"/>
          </w:tcPr>
          <w:p>
            <w:pPr>
              <w:spacing w:after="0"/>
              <w:rPr>
                <w:sz w:val="19"/>
                <w:szCs w:val="19"/>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deficit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(277,905)</w:t>
            </w:r>
          </w:p>
        </w:tc>
        <w:tc>
          <w:tcPr>
            <w:tcW w:w="40" w:type="dxa"/>
            <w:vAlign w:val="bottom"/>
          </w:tcPr>
          <w:p>
            <w:pPr>
              <w:spacing w:after="0"/>
              <w:rPr>
                <w:sz w:val="19"/>
                <w:szCs w:val="19"/>
                <w:color w:val="auto"/>
              </w:rPr>
            </w:pPr>
          </w:p>
        </w:tc>
      </w:tr>
      <w:tr>
        <w:trPr>
          <w:trHeight w:val="228"/>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(63,721)</w:t>
            </w:r>
          </w:p>
        </w:tc>
        <w:tc>
          <w:tcPr>
            <w:tcW w:w="40" w:type="dxa"/>
            <w:vAlign w:val="bottom"/>
          </w:tcPr>
          <w:p>
            <w:pPr>
              <w:spacing w:after="0"/>
              <w:rPr>
                <w:sz w:val="19"/>
                <w:szCs w:val="19"/>
                <w:color w:val="auto"/>
              </w:rPr>
            </w:pPr>
          </w:p>
        </w:tc>
      </w:tr>
      <w:tr>
        <w:trPr>
          <w:trHeight w:val="222"/>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460,915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534,621</w:t>
            </w:r>
          </w:p>
        </w:tc>
        <w:tc>
          <w:tcPr>
            <w:tcW w:w="40" w:type="dxa"/>
            <w:vAlign w:val="bottom"/>
          </w:tcPr>
          <w:p>
            <w:pPr>
              <w:spacing w:after="0"/>
              <w:rPr>
                <w:sz w:val="19"/>
                <w:szCs w:val="19"/>
                <w:color w:val="auto"/>
              </w:rPr>
            </w:pPr>
          </w:p>
        </w:tc>
      </w:tr>
      <w:tr>
        <w:trPr>
          <w:trHeight w:val="247"/>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Series A redeemable preferred shares, and shareholders’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948,988</w:t>
            </w:r>
          </w:p>
        </w:tc>
        <w:tc>
          <w:tcPr>
            <w:tcW w:w="40" w:type="dxa"/>
            <w:vAlign w:val="bottom"/>
          </w:tcPr>
          <w:p>
            <w:pPr>
              <w:spacing w:after="0"/>
              <w:rPr>
                <w:sz w:val="21"/>
                <w:szCs w:val="2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SCHEDULE II</w:t>
            </w:r>
          </w:p>
        </w:tc>
        <w:tc>
          <w:tcPr>
            <w:tcW w:w="0" w:type="dxa"/>
            <w:vAlign w:val="bottom"/>
          </w:tcPr>
          <w:p>
            <w:pPr>
              <w:spacing w:after="0"/>
              <w:rPr>
                <w:sz w:val="1"/>
                <w:szCs w:val="1"/>
                <w:color w:val="auto"/>
              </w:rPr>
            </w:pPr>
          </w:p>
        </w:tc>
      </w:tr>
      <w:tr>
        <w:trPr>
          <w:trHeight w:val="322"/>
        </w:trPr>
        <w:tc>
          <w:tcPr>
            <w:tcW w:w="2720" w:type="dxa"/>
            <w:vAlign w:val="bottom"/>
          </w:tcPr>
          <w:p>
            <w:pPr>
              <w:spacing w:after="0"/>
              <w:rPr>
                <w:sz w:val="24"/>
                <w:szCs w:val="24"/>
                <w:color w:val="auto"/>
              </w:rPr>
            </w:pPr>
          </w:p>
        </w:tc>
        <w:tc>
          <w:tcPr>
            <w:tcW w:w="57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JAMES RIVER GROUP HOLDINGS, LTD. AND SUBSIDIARIES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720" w:type="dxa"/>
            <w:vAlign w:val="bottom"/>
          </w:tcPr>
          <w:p>
            <w:pPr>
              <w:spacing w:after="0"/>
              <w:rPr>
                <w:sz w:val="24"/>
                <w:szCs w:val="24"/>
                <w:color w:val="auto"/>
              </w:rPr>
            </w:pPr>
          </w:p>
        </w:tc>
        <w:tc>
          <w:tcPr>
            <w:tcW w:w="478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Condensed Financial Information of Registrant</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720" w:type="dxa"/>
            <w:vAlign w:val="bottom"/>
          </w:tcPr>
          <w:p>
            <w:pPr>
              <w:spacing w:after="0"/>
              <w:rPr>
                <w:sz w:val="24"/>
                <w:szCs w:val="24"/>
                <w:color w:val="auto"/>
              </w:rPr>
            </w:pPr>
          </w:p>
        </w:tc>
        <w:tc>
          <w:tcPr>
            <w:tcW w:w="57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Statements of (Loss) Income and Comprehensive Loss (Parent Company)</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7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gridSpan w:val="6"/>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7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3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47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3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4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4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3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43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equity in net (loss) income of subsidiaries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00" w:type="dxa"/>
            <w:vAlign w:val="bottom"/>
            <w:gridSpan w:val="3"/>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Equity in net (loss) income of subsidiaries </w:t>
            </w:r>
            <w:r>
              <w:rPr>
                <w:rFonts w:ascii="Times New Roman" w:cs="Times New Roman" w:eastAsia="Times New Roman" w:hAnsi="Times New Roman"/>
                <w:sz w:val="23"/>
                <w:szCs w:val="23"/>
                <w:color w:val="auto"/>
                <w:vertAlign w:val="superscript"/>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43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4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720" w:type="dxa"/>
            <w:vAlign w:val="bottom"/>
            <w:vMerge w:val="continue"/>
          </w:tcPr>
          <w:p>
            <w:pPr>
              <w:spacing w:after="0"/>
              <w:rPr>
                <w:sz w:val="15"/>
                <w:szCs w:val="15"/>
                <w:color w:val="auto"/>
              </w:rPr>
            </w:pPr>
          </w:p>
        </w:tc>
        <w:tc>
          <w:tcPr>
            <w:tcW w:w="4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other comprehensive (losses) earnings of subsidiaries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4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(87,396)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240" w:firstLine="7"/>
        <w:spacing w:after="0" w:line="264" w:lineRule="auto"/>
        <w:tabs>
          <w:tab w:leader="none" w:pos="2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for JRG Re which was classified as held for sale on our Consolidated Balance Sheets as of December 31, 2023. The sale of JRG Re closed on April 16, 2024. Operating results of JRG Re are included in discontinued operations in our Consolidated Statements of (Loss) Income and Comprehensive Loss. See Note 2 - Discontinued Operations.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SCHEDULE II</w:t>
            </w:r>
          </w:p>
        </w:tc>
        <w:tc>
          <w:tcPr>
            <w:tcW w:w="0" w:type="dxa"/>
            <w:vAlign w:val="bottom"/>
          </w:tcPr>
          <w:p>
            <w:pPr>
              <w:spacing w:after="0"/>
              <w:rPr>
                <w:sz w:val="1"/>
                <w:szCs w:val="1"/>
                <w:color w:val="auto"/>
              </w:rPr>
            </w:pPr>
          </w:p>
        </w:tc>
      </w:tr>
      <w:tr>
        <w:trPr>
          <w:trHeight w:val="322"/>
        </w:trPr>
        <w:tc>
          <w:tcPr>
            <w:tcW w:w="8460" w:type="dxa"/>
            <w:vAlign w:val="bottom"/>
            <w:gridSpan w:val="5"/>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JAMES RIVER GROUP HOLDINGS, LTD. AND SUBSIDIARIES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680" w:type="dxa"/>
            <w:vAlign w:val="bottom"/>
          </w:tcPr>
          <w:p>
            <w:pPr>
              <w:spacing w:after="0"/>
              <w:rPr>
                <w:sz w:val="24"/>
                <w:szCs w:val="24"/>
                <w:color w:val="auto"/>
              </w:rPr>
            </w:pPr>
          </w:p>
        </w:tc>
        <w:tc>
          <w:tcPr>
            <w:tcW w:w="3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Financial Information of Registrant</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680" w:type="dxa"/>
            <w:vAlign w:val="bottom"/>
          </w:tcPr>
          <w:p>
            <w:pPr>
              <w:spacing w:after="0"/>
              <w:rPr>
                <w:sz w:val="24"/>
                <w:szCs w:val="24"/>
                <w:color w:val="auto"/>
              </w:rPr>
            </w:pPr>
          </w:p>
        </w:tc>
        <w:tc>
          <w:tcPr>
            <w:tcW w:w="3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Statements of Cash Flows (Parent Company)</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gridSpan w:val="6"/>
          </w:tcPr>
          <w:p>
            <w:pPr>
              <w:jc w:val="center"/>
              <w:ind w:left="6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8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depreciation and amortization</w:t>
            </w:r>
          </w:p>
        </w:tc>
        <w:tc>
          <w:tcPr>
            <w:tcW w:w="3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3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 undistributed earnings of subsidiaries</w:t>
            </w:r>
          </w:p>
        </w:tc>
        <w:tc>
          <w:tcPr>
            <w:tcW w:w="3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3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JRG Re</w:t>
            </w:r>
          </w:p>
        </w:tc>
        <w:tc>
          <w:tcPr>
            <w:tcW w:w="3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from subsidiaries</w:t>
            </w:r>
          </w:p>
        </w:tc>
        <w:tc>
          <w:tcPr>
            <w:tcW w:w="3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3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141,968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debt repayments</w:t>
            </w:r>
          </w:p>
        </w:tc>
        <w:tc>
          <w:tcPr>
            <w:tcW w:w="3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to subsidiary</w:t>
            </w:r>
          </w:p>
        </w:tc>
        <w:tc>
          <w:tcPr>
            <w:tcW w:w="3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Series A preferred shares</w:t>
            </w:r>
          </w:p>
        </w:tc>
        <w:tc>
          <w:tcPr>
            <w:tcW w:w="3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Enstar common share investment</w:t>
            </w:r>
          </w:p>
        </w:tc>
        <w:tc>
          <w:tcPr>
            <w:tcW w:w="3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taxes withheld and remitted on net settlement of RSUs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on Series A preferred shares</w:t>
            </w:r>
          </w:p>
        </w:tc>
        <w:tc>
          <w:tcPr>
            <w:tcW w:w="3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on common shares</w:t>
            </w:r>
          </w:p>
        </w:tc>
        <w:tc>
          <w:tcPr>
            <w:tcW w:w="33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3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3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3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3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680" w:type="dxa"/>
            <w:vAlign w:val="bottom"/>
            <w:vMerge w:val="continue"/>
          </w:tcPr>
          <w:p>
            <w:pPr>
              <w:spacing w:after="0"/>
              <w:rPr>
                <w:sz w:val="15"/>
                <w:szCs w:val="15"/>
                <w:color w:val="auto"/>
              </w:rPr>
            </w:pPr>
          </w:p>
        </w:tc>
        <w:tc>
          <w:tcPr>
            <w:tcW w:w="3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38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Financial Information of Registrant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115" w:lineRule="exact"/>
        <w:rPr>
          <w:sz w:val="20"/>
          <w:szCs w:val="20"/>
          <w:color w:val="auto"/>
        </w:rPr>
      </w:pPr>
    </w:p>
    <w:p>
      <w:pPr>
        <w:ind w:right="9440" w:firstLine="7"/>
        <w:spacing w:after="0" w:line="376" w:lineRule="auto"/>
        <w:tabs>
          <w:tab w:leader="none" w:pos="304"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Policies Organization</w:t>
      </w:r>
    </w:p>
    <w:p>
      <w:pPr>
        <w:ind w:right="240" w:firstLine="363"/>
        <w:spacing w:after="0" w:line="280" w:lineRule="auto"/>
        <w:rPr>
          <w:sz w:val="20"/>
          <w:szCs w:val="20"/>
          <w:color w:val="auto"/>
        </w:rPr>
      </w:pPr>
      <w:r>
        <w:rPr>
          <w:rFonts w:ascii="Times New Roman" w:cs="Times New Roman" w:eastAsia="Times New Roman" w:hAnsi="Times New Roman"/>
          <w:sz w:val="18"/>
          <w:szCs w:val="18"/>
          <w:color w:val="auto"/>
        </w:rPr>
        <w:t>James River Group Holdings, Ltd. (the “Company”) is an exempted holding company registered in Bermuda, organized for the purpose of acquiring and managing insurance and reinsurance entities.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9" w:lineRule="exact"/>
        <w:rPr>
          <w:sz w:val="20"/>
          <w:szCs w:val="20"/>
          <w:color w:val="auto"/>
        </w:rPr>
      </w:pPr>
    </w:p>
    <w:p>
      <w:pPr>
        <w:ind w:right="240" w:firstLine="363"/>
        <w:spacing w:after="0" w:line="264"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using the equity method. Under the equity method, the investment in consolidated subsidiaries is stated at cost plus equity in undistributed earnings of consolidated subsidiaries since the date of acquisition. These condensed financial statements should be read in conjunction with the Company’s consolidated financial statements.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 and Assumptions</w:t>
      </w:r>
    </w:p>
    <w:p>
      <w:pPr>
        <w:spacing w:after="0" w:line="119" w:lineRule="exact"/>
        <w:rPr>
          <w:sz w:val="20"/>
          <w:szCs w:val="20"/>
          <w:color w:val="auto"/>
        </w:rPr>
      </w:pPr>
    </w:p>
    <w:p>
      <w:pPr>
        <w:ind w:right="20" w:firstLine="363"/>
        <w:spacing w:after="0" w:line="264" w:lineRule="auto"/>
        <w:rPr>
          <w:sz w:val="20"/>
          <w:szCs w:val="20"/>
          <w:color w:val="auto"/>
        </w:rPr>
      </w:pPr>
      <w:r>
        <w:rPr>
          <w:rFonts w:ascii="Times New Roman" w:cs="Times New Roman" w:eastAsia="Times New Roman" w:hAnsi="Times New Roman"/>
          <w:sz w:val="18"/>
          <w:szCs w:val="18"/>
          <w:color w:val="auto"/>
        </w:rPr>
        <w:t>Preparation of the financial statements in conformity with GAAP requires management to make estimates and assumptions that affect the amounts reported in the financial statements and accompanying disclosures. Those estimates are inherently subject to change, and actual results may ultimately differ from those estimates.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Adopted Accounting Standards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accounting standards were adopted during the year ended December 31, 2024 that had a material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Insurance Information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Reserve</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w w:val="96"/>
              </w:rPr>
              <w:t>Deferred</w:t>
            </w:r>
          </w:p>
        </w:tc>
        <w:tc>
          <w:tcPr>
            <w:tcW w:w="140" w:type="dxa"/>
            <w:vAlign w:val="bottom"/>
          </w:tcPr>
          <w:p>
            <w:pPr>
              <w:spacing w:after="0"/>
              <w:rPr>
                <w:sz w:val="11"/>
                <w:szCs w:val="11"/>
                <w:color w:val="auto"/>
              </w:rPr>
            </w:pPr>
          </w:p>
        </w:tc>
        <w:tc>
          <w:tcPr>
            <w:tcW w:w="96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3"/>
                <w:szCs w:val="13"/>
                <w:b w:val="1"/>
                <w:bCs w:val="1"/>
                <w:color w:val="auto"/>
                <w:w w:val="96"/>
              </w:rPr>
              <w:t>for Losses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Net</w:t>
            </w:r>
          </w:p>
        </w:tc>
        <w:tc>
          <w:tcPr>
            <w:tcW w:w="140" w:type="dxa"/>
            <w:vAlign w:val="bottom"/>
          </w:tcPr>
          <w:p>
            <w:pPr>
              <w:spacing w:after="0"/>
              <w:rPr>
                <w:sz w:val="11"/>
                <w:szCs w:val="11"/>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Net</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w w:val="94"/>
              </w:rPr>
              <w:t>Losses</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w w:val="96"/>
              </w:rPr>
              <w:t>Amortization</w:t>
            </w:r>
          </w:p>
        </w:tc>
        <w:tc>
          <w:tcPr>
            <w:tcW w:w="14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740" w:type="dxa"/>
            <w:vAlign w:val="bottom"/>
            <w:vMerge w:val="restart"/>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rPr>
              <w:t>Policy</w:t>
            </w: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w w:val="96"/>
              </w:rPr>
              <w:t>and Loss</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and Loss</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5"/>
              </w:rPr>
              <w:t>of Policy</w:t>
            </w: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w w:val="97"/>
              </w:rPr>
              <w:t>Adjustment</w:t>
            </w:r>
          </w:p>
        </w:tc>
        <w:tc>
          <w:tcPr>
            <w:tcW w:w="140" w:type="dxa"/>
            <w:vAlign w:val="bottom"/>
          </w:tcPr>
          <w:p>
            <w:pPr>
              <w:spacing w:after="0"/>
              <w:rPr>
                <w:sz w:val="11"/>
                <w:szCs w:val="11"/>
                <w:color w:val="auto"/>
              </w:rPr>
            </w:pPr>
          </w:p>
        </w:tc>
        <w:tc>
          <w:tcPr>
            <w:tcW w:w="84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3"/>
                <w:szCs w:val="13"/>
                <w:b w:val="1"/>
                <w:bCs w:val="1"/>
                <w:color w:val="auto"/>
                <w:w w:val="97"/>
              </w:rPr>
              <w:t>Earned</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w w:val="94"/>
              </w:rPr>
              <w:t>Adjustment</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40" w:type="dxa"/>
            <w:vAlign w:val="bottom"/>
          </w:tcPr>
          <w:p>
            <w:pPr>
              <w:spacing w:after="0"/>
              <w:rPr>
                <w:sz w:val="11"/>
                <w:szCs w:val="11"/>
                <w:color w:val="auto"/>
              </w:rPr>
            </w:pPr>
          </w:p>
        </w:tc>
        <w:tc>
          <w:tcPr>
            <w:tcW w:w="84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120" w:type="dxa"/>
            <w:vAlign w:val="bottom"/>
          </w:tcPr>
          <w:p>
            <w:pPr>
              <w:spacing w:after="0"/>
              <w:rPr>
                <w:sz w:val="11"/>
                <w:szCs w:val="11"/>
                <w:color w:val="auto"/>
              </w:rPr>
            </w:pPr>
          </w:p>
        </w:tc>
        <w:tc>
          <w:tcPr>
            <w:tcW w:w="740" w:type="dxa"/>
            <w:vAlign w:val="bottom"/>
          </w:tcPr>
          <w:p>
            <w:pPr>
              <w:jc w:val="center"/>
              <w:ind w:right="43"/>
              <w:spacing w:after="0" w:line="134" w:lineRule="exact"/>
              <w:rPr>
                <w:sz w:val="20"/>
                <w:szCs w:val="20"/>
                <w:color w:val="auto"/>
              </w:rPr>
            </w:pPr>
            <w:r>
              <w:rPr>
                <w:rFonts w:ascii="Times New Roman" w:cs="Times New Roman" w:eastAsia="Times New Roman" w:hAnsi="Times New Roman"/>
                <w:sz w:val="13"/>
                <w:szCs w:val="13"/>
                <w:b w:val="1"/>
                <w:bCs w:val="1"/>
                <w:color w:val="auto"/>
                <w:w w:val="95"/>
              </w:rPr>
              <w:t>Written</w:t>
            </w:r>
          </w:p>
        </w:tc>
        <w:tc>
          <w:tcPr>
            <w:tcW w:w="0" w:type="dxa"/>
            <w:vAlign w:val="bottom"/>
          </w:tcPr>
          <w:p>
            <w:pPr>
              <w:spacing w:after="0"/>
              <w:rPr>
                <w:sz w:val="1"/>
                <w:szCs w:val="1"/>
                <w:color w:val="auto"/>
              </w:rPr>
            </w:pPr>
          </w:p>
        </w:tc>
      </w:tr>
      <w:tr>
        <w:trPr>
          <w:trHeight w:val="170"/>
        </w:trPr>
        <w:tc>
          <w:tcPr>
            <w:tcW w:w="2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Costs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Expenses</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Premiums</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Premiums</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Expenses</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Costs</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Expenses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8"/>
              </w:rPr>
              <w:t>Premiums</w:t>
            </w:r>
          </w:p>
        </w:tc>
        <w:tc>
          <w:tcPr>
            <w:tcW w:w="0" w:type="dxa"/>
            <w:vAlign w:val="bottom"/>
          </w:tcPr>
          <w:p>
            <w:pPr>
              <w:spacing w:after="0"/>
              <w:rPr>
                <w:sz w:val="1"/>
                <w:szCs w:val="1"/>
                <w:color w:val="auto"/>
              </w:rPr>
            </w:pPr>
          </w:p>
        </w:tc>
      </w:tr>
      <w:tr>
        <w:trPr>
          <w:trHeight w:val="19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Excess and Surplus Lines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2,226,038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447,711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512,237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73,341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485,951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69,704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140,978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508,445</w:t>
            </w: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Specialty Admitted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858,368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72,409</w:t>
            </w:r>
          </w:p>
        </w:tc>
        <w:tc>
          <w:tcPr>
            <w:tcW w:w="0" w:type="dxa"/>
            <w:vAlign w:val="bottom"/>
          </w:tcPr>
          <w:p>
            <w:pPr>
              <w:spacing w:after="0"/>
              <w:rPr>
                <w:sz w:val="1"/>
                <w:szCs w:val="1"/>
                <w:color w:val="auto"/>
              </w:rPr>
            </w:pPr>
          </w:p>
        </w:tc>
      </w:tr>
      <w:tr>
        <w:trPr>
          <w:trHeight w:val="217"/>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30,175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3,084,406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572,034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600,196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93,089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554,374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65,960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193,198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580,854</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Excess and Surplus Lines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1,769,788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428,570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609,566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69,325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425,035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75,890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135,175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589,551</w:t>
            </w: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Specialty Admitted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836,319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104,350</w:t>
            </w:r>
          </w:p>
        </w:tc>
        <w:tc>
          <w:tcPr>
            <w:tcW w:w="0" w:type="dxa"/>
            <w:vAlign w:val="bottom"/>
          </w:tcPr>
          <w:p>
            <w:pPr>
              <w:spacing w:after="0"/>
              <w:rPr>
                <w:sz w:val="1"/>
                <w:szCs w:val="1"/>
                <w:color w:val="auto"/>
              </w:rPr>
            </w:pPr>
          </w:p>
        </w:tc>
      </w:tr>
      <w:tr>
        <w:trPr>
          <w:trHeight w:val="217"/>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31,497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2,606,107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587,899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708,005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84,046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500,157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72,633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193,656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693,901</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December 31, 2022</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Excess and Surplus Lines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1,585,861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405,139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555,597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382,094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59,457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106,194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589,056</w:t>
            </w: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Specialty Admitted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755,102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76,390</w:t>
            </w:r>
          </w:p>
        </w:tc>
        <w:tc>
          <w:tcPr>
            <w:tcW w:w="0" w:type="dxa"/>
            <w:vAlign w:val="bottom"/>
          </w:tcPr>
          <w:p>
            <w:pPr>
              <w:spacing w:after="0"/>
              <w:rPr>
                <w:sz w:val="1"/>
                <w:szCs w:val="1"/>
                <w:color w:val="auto"/>
              </w:rPr>
            </w:pPr>
          </w:p>
        </w:tc>
      </w:tr>
      <w:tr>
        <w:trPr>
          <w:trHeight w:val="217"/>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32,837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2,340,963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578,196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629,734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43,188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440,642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49,809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152,570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665,446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w w:val="97"/>
              </w:rPr>
              <w:t>SCHEDULE IV</w:t>
            </w:r>
          </w:p>
        </w:tc>
        <w:tc>
          <w:tcPr>
            <w:tcW w:w="0" w:type="dxa"/>
            <w:vAlign w:val="bottom"/>
          </w:tcPr>
          <w:p>
            <w:pPr>
              <w:spacing w:after="0"/>
              <w:rPr>
                <w:sz w:val="1"/>
                <w:szCs w:val="1"/>
                <w:color w:val="auto"/>
              </w:rPr>
            </w:pPr>
          </w:p>
        </w:tc>
      </w:tr>
      <w:tr>
        <w:trPr>
          <w:trHeight w:val="322"/>
        </w:trPr>
        <w:tc>
          <w:tcPr>
            <w:tcW w:w="8320" w:type="dxa"/>
            <w:vAlign w:val="bottom"/>
            <w:gridSpan w:val="10"/>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JAMES RIVER GROUP HOLDINGS, LTD. AND SUBSIDIARIES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Reinsurance</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Ceded</w:t>
            </w:r>
          </w:p>
        </w:tc>
        <w:tc>
          <w:tcPr>
            <w:tcW w:w="200" w:type="dxa"/>
            <w:vAlign w:val="bottom"/>
          </w:tcPr>
          <w:p>
            <w:pPr>
              <w:spacing w:after="0"/>
              <w:rPr>
                <w:sz w:val="23"/>
                <w:szCs w:val="23"/>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4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Net</w:t>
            </w:r>
          </w:p>
        </w:tc>
        <w:tc>
          <w:tcPr>
            <w:tcW w:w="16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of Amount</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4"/>
                <w:szCs w:val="14"/>
                <w:b w:val="1"/>
                <w:bCs w:val="1"/>
                <w:color w:val="auto"/>
              </w:rPr>
              <w:t>to Other</w:t>
            </w:r>
          </w:p>
        </w:tc>
        <w:tc>
          <w:tcPr>
            <w:tcW w:w="200" w:type="dxa"/>
            <w:vAlign w:val="bottom"/>
          </w:tcPr>
          <w:p>
            <w:pPr>
              <w:spacing w:after="0"/>
              <w:rPr>
                <w:sz w:val="12"/>
                <w:szCs w:val="12"/>
                <w:color w:val="auto"/>
              </w:rPr>
            </w:pPr>
          </w:p>
        </w:tc>
        <w:tc>
          <w:tcPr>
            <w:tcW w:w="1200" w:type="dxa"/>
            <w:vAlign w:val="bottom"/>
            <w:gridSpan w:val="2"/>
          </w:tcPr>
          <w:p>
            <w:pPr>
              <w:ind w:left="100"/>
              <w:spacing w:after="0" w:line="148" w:lineRule="exact"/>
              <w:rPr>
                <w:sz w:val="20"/>
                <w:szCs w:val="20"/>
                <w:color w:val="auto"/>
              </w:rPr>
            </w:pPr>
            <w:r>
              <w:rPr>
                <w:rFonts w:ascii="Times New Roman" w:cs="Times New Roman" w:eastAsia="Times New Roman" w:hAnsi="Times New Roman"/>
                <w:sz w:val="14"/>
                <w:szCs w:val="14"/>
                <w:b w:val="1"/>
                <w:bCs w:val="1"/>
                <w:color w:val="auto"/>
              </w:rPr>
              <w:t>from Other</w:t>
            </w: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2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Assumed</w:t>
            </w:r>
          </w:p>
        </w:tc>
        <w:tc>
          <w:tcPr>
            <w:tcW w:w="0" w:type="dxa"/>
            <w:vAlign w:val="bottom"/>
          </w:tcPr>
          <w:p>
            <w:pPr>
              <w:spacing w:after="0"/>
              <w:rPr>
                <w:sz w:val="1"/>
                <w:szCs w:val="1"/>
                <w:color w:val="auto"/>
              </w:rPr>
            </w:pPr>
          </w:p>
        </w:tc>
      </w:tr>
      <w:tr>
        <w:trPr>
          <w:trHeight w:val="196"/>
        </w:trPr>
        <w:tc>
          <w:tcPr>
            <w:tcW w:w="4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20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260" w:type="dxa"/>
            <w:vAlign w:val="bottom"/>
          </w:tcPr>
          <w:p>
            <w:pPr>
              <w:spacing w:after="0"/>
              <w:rPr>
                <w:sz w:val="17"/>
                <w:szCs w:val="17"/>
                <w:color w:val="auto"/>
              </w:rPr>
            </w:pPr>
          </w:p>
        </w:tc>
        <w:tc>
          <w:tcPr>
            <w:tcW w:w="10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 Net</w:t>
            </w:r>
          </w:p>
        </w:tc>
        <w:tc>
          <w:tcPr>
            <w:tcW w:w="0" w:type="dxa"/>
            <w:vAlign w:val="bottom"/>
          </w:tcPr>
          <w:p>
            <w:pPr>
              <w:spacing w:after="0"/>
              <w:rPr>
                <w:sz w:val="1"/>
                <w:szCs w:val="1"/>
                <w:color w:val="auto"/>
              </w:rPr>
            </w:pPr>
          </w:p>
        </w:tc>
      </w:tr>
      <w:tr>
        <w:trPr>
          <w:trHeight w:val="195"/>
        </w:trPr>
        <w:tc>
          <w:tcPr>
            <w:tcW w:w="4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and Surplus Lines Written Premiums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1,017,029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508,584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508,445</w:t>
            </w:r>
          </w:p>
        </w:tc>
        <w:tc>
          <w:tcPr>
            <w:tcW w:w="15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Admitted Written Premiums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72,409</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Written Premiums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1,429,791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850,918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580,854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0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and Surplus Lines Written Premiums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1,007,351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589,551</w:t>
            </w:r>
          </w:p>
        </w:tc>
        <w:tc>
          <w:tcPr>
            <w:tcW w:w="15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Admitted Written Premiums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499,317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104,350</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Written Premiums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1,506,668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814,759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693,901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0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and Surplus Lines Written Premiums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921,164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332,108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589,056</w:t>
            </w:r>
          </w:p>
        </w:tc>
        <w:tc>
          <w:tcPr>
            <w:tcW w:w="15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Admitted Written Premiums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76,390</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Written Premiums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1,408,524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745,926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665,446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SCHEDULE V</w:t>
            </w:r>
          </w:p>
        </w:tc>
        <w:tc>
          <w:tcPr>
            <w:tcW w:w="0" w:type="dxa"/>
            <w:vAlign w:val="bottom"/>
          </w:tcPr>
          <w:p>
            <w:pPr>
              <w:spacing w:after="0"/>
              <w:rPr>
                <w:sz w:val="1"/>
                <w:szCs w:val="1"/>
                <w:color w:val="auto"/>
              </w:rPr>
            </w:pPr>
          </w:p>
        </w:tc>
      </w:tr>
      <w:tr>
        <w:trPr>
          <w:trHeight w:val="322"/>
        </w:trPr>
        <w:tc>
          <w:tcPr>
            <w:tcW w:w="8240" w:type="dxa"/>
            <w:vAlign w:val="bottom"/>
            <w:gridSpan w:val="9"/>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JAMES RIVER GROUP HOLDINGS, LTD. AND SUBSIDIARIES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7020" w:type="dxa"/>
            <w:vAlign w:val="bottom"/>
            <w:gridSpan w:val="5"/>
          </w:tcPr>
          <w:p>
            <w:pPr>
              <w:jc w:val="center"/>
              <w:ind w:left="4130"/>
              <w:spacing w:after="0"/>
              <w:rPr>
                <w:sz w:val="20"/>
                <w:szCs w:val="20"/>
                <w:color w:val="auto"/>
              </w:rPr>
            </w:pPr>
            <w:r>
              <w:rPr>
                <w:rFonts w:ascii="Times New Roman" w:cs="Times New Roman" w:eastAsia="Times New Roman" w:hAnsi="Times New Roman"/>
                <w:sz w:val="18"/>
                <w:szCs w:val="18"/>
                <w:b w:val="1"/>
                <w:bCs w:val="1"/>
                <w:color w:val="auto"/>
                <w:w w:val="98"/>
              </w:rPr>
              <w:t>Valuation and Qualifying Accounts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Additions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00" w:type="dxa"/>
            <w:vAlign w:val="bottom"/>
          </w:tcPr>
          <w:p>
            <w:pPr>
              <w:spacing w:after="0"/>
              <w:rPr>
                <w:sz w:val="24"/>
                <w:szCs w:val="24"/>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14"/>
        </w:trPr>
        <w:tc>
          <w:tcPr>
            <w:tcW w:w="5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Amounts</w:t>
            </w:r>
          </w:p>
        </w:tc>
        <w:tc>
          <w:tcPr>
            <w:tcW w:w="54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Amounts</w:t>
            </w:r>
          </w:p>
        </w:tc>
        <w:tc>
          <w:tcPr>
            <w:tcW w:w="4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8" w:lineRule="exact"/>
              <w:rPr>
                <w:sz w:val="20"/>
                <w:szCs w:val="20"/>
                <w:color w:val="auto"/>
              </w:rPr>
            </w:pPr>
            <w:r>
              <w:rPr>
                <w:rFonts w:ascii="Times New Roman" w:cs="Times New Roman" w:eastAsia="Times New Roman" w:hAnsi="Times New Roman"/>
                <w:sz w:val="14"/>
                <w:szCs w:val="14"/>
                <w:b w:val="1"/>
                <w:bCs w:val="1"/>
                <w:color w:val="auto"/>
              </w:rPr>
              <w:t>at Beginning</w:t>
            </w:r>
          </w:p>
        </w:tc>
        <w:tc>
          <w:tcPr>
            <w:tcW w:w="320" w:type="dxa"/>
            <w:vAlign w:val="bottom"/>
          </w:tcPr>
          <w:p>
            <w:pPr>
              <w:spacing w:after="0"/>
              <w:rPr>
                <w:sz w:val="12"/>
                <w:szCs w:val="12"/>
                <w:color w:val="auto"/>
              </w:rPr>
            </w:pPr>
          </w:p>
        </w:tc>
        <w:tc>
          <w:tcPr>
            <w:tcW w:w="1220" w:type="dxa"/>
            <w:vAlign w:val="bottom"/>
            <w:gridSpan w:val="4"/>
          </w:tcPr>
          <w:p>
            <w:pPr>
              <w:jc w:val="center"/>
              <w:ind w:right="440"/>
              <w:spacing w:after="0" w:line="148"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220" w:type="dxa"/>
            <w:vAlign w:val="bottom"/>
          </w:tcPr>
          <w:p>
            <w:pPr>
              <w:spacing w:after="0"/>
              <w:rPr>
                <w:sz w:val="12"/>
                <w:szCs w:val="12"/>
                <w:color w:val="auto"/>
              </w:rPr>
            </w:pPr>
          </w:p>
        </w:tc>
        <w:tc>
          <w:tcPr>
            <w:tcW w:w="1320" w:type="dxa"/>
            <w:vAlign w:val="bottom"/>
            <w:gridSpan w:val="4"/>
          </w:tcPr>
          <w:p>
            <w:pPr>
              <w:jc w:val="center"/>
              <w:ind w:right="340"/>
              <w:spacing w:after="0" w:line="148" w:lineRule="exact"/>
              <w:rPr>
                <w:sz w:val="20"/>
                <w:szCs w:val="20"/>
                <w:color w:val="auto"/>
              </w:rPr>
            </w:pPr>
            <w:r>
              <w:rPr>
                <w:rFonts w:ascii="Times New Roman" w:cs="Times New Roman" w:eastAsia="Times New Roman" w:hAnsi="Times New Roman"/>
                <w:sz w:val="14"/>
                <w:szCs w:val="14"/>
                <w:b w:val="1"/>
                <w:bCs w:val="1"/>
                <w:color w:val="auto"/>
              </w:rPr>
              <w:t>Written Off</w:t>
            </w:r>
          </w:p>
        </w:tc>
        <w:tc>
          <w:tcPr>
            <w:tcW w:w="200" w:type="dxa"/>
            <w:vAlign w:val="bottom"/>
          </w:tcPr>
          <w:p>
            <w:pPr>
              <w:spacing w:after="0"/>
              <w:rPr>
                <w:sz w:val="12"/>
                <w:szCs w:val="12"/>
                <w:color w:val="auto"/>
              </w:rPr>
            </w:pPr>
          </w:p>
        </w:tc>
        <w:tc>
          <w:tcPr>
            <w:tcW w:w="126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20" w:type="dxa"/>
            <w:vAlign w:val="bottom"/>
          </w:tcPr>
          <w:p>
            <w:pPr>
              <w:spacing w:after="0"/>
              <w:rPr>
                <w:sz w:val="16"/>
                <w:szCs w:val="16"/>
                <w:color w:val="auto"/>
              </w:rPr>
            </w:pPr>
          </w:p>
        </w:tc>
        <w:tc>
          <w:tcPr>
            <w:tcW w:w="13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or Disposals</w:t>
            </w:r>
          </w:p>
        </w:tc>
        <w:tc>
          <w:tcPr>
            <w:tcW w:w="20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Allowance for Credit Losses on Premiums Receivable and Agents'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Reinsurance Balances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Allowance for Credit Losses on Premiums Receivable and Agents'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16,248</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Reinsurance Balances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Allowance for Credit Losses on Premiums Receivable and Agents'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Reinsurance Balances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1"/>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9"/>
              </w:rPr>
              <w:t>F-68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VI</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Information Concerning Property Casualty Insurance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32,837</w:t>
            </w:r>
          </w:p>
        </w:tc>
      </w:tr>
      <w:tr>
        <w:trPr>
          <w:trHeight w:val="22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3,084,406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2,606,107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2,340,963</w:t>
            </w:r>
          </w:p>
        </w:tc>
      </w:tr>
      <w:tr>
        <w:trPr>
          <w:trHeight w:val="22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premiums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578,196</w:t>
            </w:r>
          </w:p>
        </w:tc>
      </w:tr>
      <w:tr>
        <w:trPr>
          <w:trHeight w:val="22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629,734</w:t>
            </w:r>
          </w:p>
        </w:tc>
      </w:tr>
      <w:tr>
        <w:trPr>
          <w:trHeight w:val="22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43,188</w:t>
            </w:r>
          </w:p>
        </w:tc>
      </w:tr>
      <w:tr>
        <w:trPr>
          <w:trHeight w:val="22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incurred: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429,260</w:t>
            </w:r>
          </w:p>
        </w:tc>
      </w:tr>
      <w:tr>
        <w:trPr>
          <w:trHeight w:val="228"/>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years - retroactive reinsurance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w:t>
            </w:r>
          </w:p>
        </w:tc>
      </w:tr>
      <w:tr>
        <w:trPr>
          <w:trHeight w:val="228"/>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Prior years - excluding retroactive reinsurance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r>
      <w:tr>
        <w:trPr>
          <w:trHeight w:val="222"/>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losses and loss adjustment expenses incurred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440,642</w:t>
            </w:r>
          </w:p>
        </w:tc>
      </w:tr>
      <w:tr>
        <w:trPr>
          <w:trHeight w:val="22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49,809</w:t>
            </w:r>
          </w:p>
        </w:tc>
      </w:tr>
      <w:tr>
        <w:trPr>
          <w:trHeight w:val="22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losses and loss adjustment expenses, net of reinsurance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318,355</w:t>
            </w:r>
          </w:p>
        </w:tc>
      </w:tr>
      <w:tr>
        <w:trPr>
          <w:trHeight w:val="22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665,446</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240"/>
          </w:cols>
          <w:pgMar w:left="320" w:top="122"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1"/>
          <w:szCs w:val="21"/>
          <w:b w:val="1"/>
          <w:bCs w:val="1"/>
          <w:color w:val="auto"/>
        </w:rPr>
        <w:t>Exhibit 10.40</w:t>
      </w:r>
    </w:p>
    <w:p>
      <w:pPr>
        <w:spacing w:after="0" w:line="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REGISTRATION RIGHTS AGREEMENT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by and among</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JAMES RIVER GROUP HOLDINGS, LTD.</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CAVELLO BAY REINSURANCE LIMITED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b w:val="1"/>
          <w:bCs w:val="1"/>
          <w:color w:val="auto"/>
        </w:rPr>
        <w:t>Dated as of December 23, 2024</w:t>
      </w:r>
    </w:p>
    <w:p>
      <w:pPr>
        <w:sectPr>
          <w:pgSz w:w="11900" w:h="16838" w:orient="portrait"/>
          <w:cols w:equalWidth="0" w:num="1">
            <w:col w:w="10120"/>
          </w:cols>
          <w:pgMar w:left="1440" w:top="122" w:right="339" w:bottom="1440" w:gutter="0" w:footer="0" w:header="0"/>
        </w:sectPr>
      </w:pPr>
    </w:p>
    <w:bookmarkStart w:id="175" w:name="page176"/>
    <w:bookmarkEnd w:id="175"/>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40" w:type="dxa"/>
            <w:vAlign w:val="bottom"/>
          </w:tcPr>
          <w:p>
            <w:pPr>
              <w:spacing w:after="0"/>
              <w:rPr>
                <w:sz w:val="21"/>
                <w:szCs w:val="21"/>
                <w:color w:val="auto"/>
              </w:rPr>
            </w:pPr>
          </w:p>
        </w:tc>
        <w:tc>
          <w:tcPr>
            <w:tcW w:w="7580" w:type="dxa"/>
            <w:vAlign w:val="bottom"/>
            <w:gridSpan w:val="3"/>
          </w:tcPr>
          <w:p>
            <w:pPr>
              <w:ind w:left="1640"/>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420" w:type="dxa"/>
            <w:vAlign w:val="bottom"/>
          </w:tcPr>
          <w:p>
            <w:pPr>
              <w:spacing w:after="0"/>
              <w:rPr>
                <w:sz w:val="21"/>
                <w:szCs w:val="21"/>
                <w:color w:val="auto"/>
              </w:rPr>
            </w:pPr>
          </w:p>
        </w:tc>
      </w:tr>
      <w:tr>
        <w:trPr>
          <w:trHeight w:val="571"/>
        </w:trPr>
        <w:tc>
          <w:tcPr>
            <w:tcW w:w="2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7"/>
              </w:rPr>
              <w:t>Page</w:t>
            </w:r>
          </w:p>
        </w:tc>
      </w:tr>
      <w:tr>
        <w:trPr>
          <w:trHeight w:val="353"/>
        </w:trPr>
        <w:tc>
          <w:tcPr>
            <w:tcW w:w="1002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ARTICLE I Resale Shelf Registration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1.1</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Resale Shelf Registration Statement</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1.2</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Effectiveness Period; Certain Representations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1.3</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Subsequent Shelf Registration Statement</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1.4</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Supplements and Amendments</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1.5</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Subsequent Holder Notice</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1.6</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[Reserved]</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1.7</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Take-Down Notice</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1.8</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Piggyback Registration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1.9</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“Market Stand-off” Agreement</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403"/>
        </w:trPr>
        <w:tc>
          <w:tcPr>
            <w:tcW w:w="1002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ARTICLE II Additional Provisions Regarding Registration Rights</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2.1</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Registration Procedures</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2.2</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Suspension</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2.3</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Expenses of Registration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2.4</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Information by Holders</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2.5</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Rule 144 Reporting</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2.6</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In-Kind Distributions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322"/>
        </w:trPr>
        <w:tc>
          <w:tcPr>
            <w:tcW w:w="1002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ARTICLE III Indemnification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3.1</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Indemnification by Company</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3.2</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Indemnification by Holders</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3.3</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Notification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3.4</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Contribution</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r>
        <w:trPr>
          <w:trHeight w:val="403"/>
        </w:trPr>
        <w:tc>
          <w:tcPr>
            <w:tcW w:w="1002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ARTICLE IV Transfer and Termination of Registration Rights</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4.1</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Transfer of Registration Rights</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4.2</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Termination of Registration Rights</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ARTICLE V Miscellaneous</w:t>
            </w:r>
          </w:p>
        </w:tc>
        <w:tc>
          <w:tcPr>
            <w:tcW w:w="1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5.1</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Amendments and Waivers</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5.2</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Extension of Time, Waiver, Etc</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5.3</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Assignment</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5.4</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Counterparts; Electronic Signature</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5.5</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Entire Agreement; No Third Party Beneficiary</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5.6</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Governing Law; Jurisdiction</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5.7</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Specific Enforcement</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5.8</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Waiver of Jury Trial</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5.9</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Notices</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5.10</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Severability</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5.11</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Expenses</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322"/>
        </w:trPr>
        <w:tc>
          <w:tcPr>
            <w:tcW w:w="2440" w:type="dxa"/>
            <w:vAlign w:val="bottom"/>
          </w:tcPr>
          <w:p>
            <w:pPr>
              <w:spacing w:after="0"/>
              <w:rPr>
                <w:sz w:val="20"/>
                <w:szCs w:val="20"/>
                <w:color w:val="auto"/>
              </w:rPr>
            </w:pPr>
            <w:r>
              <w:rPr>
                <w:rFonts w:ascii="Times New Roman" w:cs="Times New Roman" w:eastAsia="Times New Roman" w:hAnsi="Times New Roman"/>
                <w:sz w:val="21"/>
                <w:szCs w:val="21"/>
                <w:color w:val="auto"/>
              </w:rPr>
              <w:t>Section 5.12</w:t>
            </w: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Interpretation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bl>
    <w:p>
      <w:pPr>
        <w:spacing w:after="0" w:line="200" w:lineRule="exact"/>
        <w:rPr>
          <w:sz w:val="20"/>
          <w:szCs w:val="20"/>
          <w:color w:val="auto"/>
        </w:rPr>
      </w:pPr>
    </w:p>
    <w:p>
      <w:pPr>
        <w:sectPr>
          <w:pgSz w:w="11900" w:h="16838" w:orient="portrait"/>
          <w:cols w:equalWidth="0" w:num="1">
            <w:col w:w="10440"/>
          </w:cols>
          <w:pgMar w:left="720" w:top="1440" w:right="739" w:bottom="1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0440"/>
          </w:cols>
          <w:pgMar w:left="720" w:top="1440" w:right="739" w:bottom="105" w:gutter="0" w:footer="0" w:header="0"/>
          <w:type w:val="continuous"/>
        </w:sectPr>
      </w:pPr>
    </w:p>
    <w:bookmarkStart w:id="176" w:name="page177"/>
    <w:bookmarkEnd w:id="176"/>
    <w:p>
      <w:pPr>
        <w:jc w:val="center"/>
        <w:ind w:right="-39"/>
        <w:spacing w:after="0"/>
        <w:rPr>
          <w:sz w:val="20"/>
          <w:szCs w:val="20"/>
          <w:color w:val="auto"/>
        </w:rPr>
      </w:pPr>
      <w:r>
        <w:rPr>
          <w:rFonts w:ascii="Times New Roman" w:cs="Times New Roman" w:eastAsia="Times New Roman" w:hAnsi="Times New Roman"/>
          <w:sz w:val="21"/>
          <w:szCs w:val="21"/>
          <w:u w:val="single" w:color="auto"/>
          <w:color w:val="auto"/>
        </w:rPr>
        <w:t>REGISTRATION RIGHTS AGREEMENT</w:t>
      </w:r>
    </w:p>
    <w:p>
      <w:pPr>
        <w:spacing w:after="0" w:line="225" w:lineRule="exact"/>
        <w:rPr>
          <w:sz w:val="20"/>
          <w:szCs w:val="20"/>
          <w:color w:val="auto"/>
        </w:rPr>
      </w:pPr>
    </w:p>
    <w:p>
      <w:pPr>
        <w:ind w:right="420" w:firstLine="645"/>
        <w:spacing w:after="0" w:line="272" w:lineRule="auto"/>
        <w:rPr>
          <w:sz w:val="20"/>
          <w:szCs w:val="20"/>
          <w:color w:val="auto"/>
        </w:rPr>
      </w:pPr>
      <w:r>
        <w:rPr>
          <w:rFonts w:ascii="Times New Roman" w:cs="Times New Roman" w:eastAsia="Times New Roman" w:hAnsi="Times New Roman"/>
          <w:sz w:val="21"/>
          <w:szCs w:val="21"/>
          <w:color w:val="auto"/>
        </w:rPr>
        <w:t>This REGISTRATION RIGHTS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as of December 23, 2024</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by and among James River Group Holdings, Ltd., a Bermuda exempted company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Cavello Bay Reinsurance Limited, a Bermuda exempted company (the “</w:t>
      </w:r>
      <w:r>
        <w:rPr>
          <w:rFonts w:ascii="Times New Roman" w:cs="Times New Roman" w:eastAsia="Times New Roman" w:hAnsi="Times New Roman"/>
          <w:sz w:val="21"/>
          <w:szCs w:val="21"/>
          <w:u w:val="single" w:color="auto"/>
          <w:color w:val="auto"/>
        </w:rPr>
        <w:t>Investor</w:t>
      </w:r>
      <w:r>
        <w:rPr>
          <w:rFonts w:ascii="Times New Roman" w:cs="Times New Roman" w:eastAsia="Times New Roman" w:hAnsi="Times New Roman"/>
          <w:sz w:val="21"/>
          <w:szCs w:val="21"/>
          <w:color w:val="auto"/>
        </w:rPr>
        <w:t xml:space="preserve">”). Capitalized terms that are used but not defined elsewhere herein are defined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w:t>
      </w:r>
    </w:p>
    <w:p>
      <w:pPr>
        <w:spacing w:after="0" w:line="159" w:lineRule="exact"/>
        <w:rPr>
          <w:sz w:val="20"/>
          <w:szCs w:val="20"/>
          <w:color w:val="auto"/>
        </w:rPr>
      </w:pPr>
    </w:p>
    <w:p>
      <w:pPr>
        <w:ind w:right="100" w:firstLine="645"/>
        <w:spacing w:after="0" w:line="272" w:lineRule="auto"/>
        <w:rPr>
          <w:sz w:val="20"/>
          <w:szCs w:val="20"/>
          <w:color w:val="auto"/>
        </w:rPr>
      </w:pPr>
      <w:r>
        <w:rPr>
          <w:rFonts w:ascii="Times New Roman" w:cs="Times New Roman" w:eastAsia="Times New Roman" w:hAnsi="Times New Roman"/>
          <w:sz w:val="21"/>
          <w:szCs w:val="21"/>
          <w:color w:val="auto"/>
        </w:rPr>
        <w:t>WHEREAS, the Company and the Investor are parties to the Subscription Agreement, dated as of November 11, 2024 (as amended from time to time, the “</w:t>
      </w:r>
      <w:r>
        <w:rPr>
          <w:rFonts w:ascii="Times New Roman" w:cs="Times New Roman" w:eastAsia="Times New Roman" w:hAnsi="Times New Roman"/>
          <w:sz w:val="21"/>
          <w:szCs w:val="21"/>
          <w:u w:val="single" w:color="auto"/>
          <w:color w:val="auto"/>
        </w:rPr>
        <w:t>Subscription Agreement</w:t>
      </w:r>
      <w:r>
        <w:rPr>
          <w:rFonts w:ascii="Times New Roman" w:cs="Times New Roman" w:eastAsia="Times New Roman" w:hAnsi="Times New Roman"/>
          <w:sz w:val="21"/>
          <w:szCs w:val="21"/>
          <w:color w:val="auto"/>
        </w:rPr>
        <w:t>”), pursuant to which the Company is selling to the Investor, and the Investor is purchasing from the Company, 1,953,125 Common Shares; and</w:t>
      </w:r>
    </w:p>
    <w:p>
      <w:pPr>
        <w:spacing w:after="0" w:line="173" w:lineRule="exact"/>
        <w:rPr>
          <w:sz w:val="20"/>
          <w:szCs w:val="20"/>
          <w:color w:val="auto"/>
        </w:rPr>
      </w:pPr>
    </w:p>
    <w:p>
      <w:pPr>
        <w:ind w:right="140" w:firstLine="645"/>
        <w:spacing w:after="0" w:line="272" w:lineRule="auto"/>
        <w:rPr>
          <w:sz w:val="20"/>
          <w:szCs w:val="20"/>
          <w:color w:val="auto"/>
        </w:rPr>
      </w:pPr>
      <w:r>
        <w:rPr>
          <w:rFonts w:ascii="Times New Roman" w:cs="Times New Roman" w:eastAsia="Times New Roman" w:hAnsi="Times New Roman"/>
          <w:sz w:val="21"/>
          <w:szCs w:val="21"/>
          <w:color w:val="auto"/>
        </w:rPr>
        <w:t>WHEREAS, as a condition to the obligations of the Company and the Investor under the Subscription Agreement, the Company and the Investor are entering into this Agreement for the purpose of granting certain registration and other rights to the Investor.</w:t>
      </w:r>
    </w:p>
    <w:p>
      <w:pPr>
        <w:spacing w:after="0" w:line="160" w:lineRule="exact"/>
        <w:rPr>
          <w:sz w:val="20"/>
          <w:szCs w:val="20"/>
          <w:color w:val="auto"/>
        </w:rPr>
      </w:pPr>
    </w:p>
    <w:p>
      <w:pPr>
        <w:ind w:right="240" w:firstLine="645"/>
        <w:spacing w:after="0" w:line="291" w:lineRule="auto"/>
        <w:rPr>
          <w:sz w:val="20"/>
          <w:szCs w:val="20"/>
          <w:color w:val="auto"/>
        </w:rPr>
      </w:pPr>
      <w:r>
        <w:rPr>
          <w:rFonts w:ascii="Times New Roman" w:cs="Times New Roman" w:eastAsia="Times New Roman" w:hAnsi="Times New Roman"/>
          <w:sz w:val="21"/>
          <w:szCs w:val="21"/>
          <w:color w:val="auto"/>
        </w:rPr>
        <w:t>NOW, THEREFORE, in consideration of the mutual covenants and agreements contained in this Agreement, the receipt and sufficiency of which are hereby acknowledged, the parties to this Agreement hereby agree as follows: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ARTICLE I</w:t>
      </w: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u w:val="single" w:color="auto"/>
          <w:color w:val="auto"/>
        </w:rPr>
        <w:t>Resale Shelf Registration</w:t>
      </w:r>
    </w:p>
    <w:p>
      <w:pPr>
        <w:spacing w:after="0" w:line="229" w:lineRule="exact"/>
        <w:rPr>
          <w:sz w:val="20"/>
          <w:szCs w:val="20"/>
          <w:color w:val="auto"/>
        </w:rPr>
      </w:pPr>
    </w:p>
    <w:p>
      <w:pPr>
        <w:ind w:firstLine="645"/>
        <w:spacing w:after="0" w:line="260" w:lineRule="auto"/>
        <w:rPr>
          <w:sz w:val="20"/>
          <w:szCs w:val="20"/>
          <w:color w:val="auto"/>
        </w:rPr>
      </w:pPr>
      <w:r>
        <w:rPr>
          <w:rFonts w:ascii="Times New Roman" w:cs="Times New Roman" w:eastAsia="Times New Roman" w:hAnsi="Times New Roman"/>
          <w:sz w:val="21"/>
          <w:szCs w:val="21"/>
          <w:color w:val="auto"/>
        </w:rPr>
        <w:t xml:space="preserve">Section 1.1 </w:t>
      </w:r>
      <w:r>
        <w:rPr>
          <w:rFonts w:ascii="Times New Roman" w:cs="Times New Roman" w:eastAsia="Times New Roman" w:hAnsi="Times New Roman"/>
          <w:sz w:val="21"/>
          <w:szCs w:val="21"/>
          <w:u w:val="single" w:color="auto"/>
          <w:color w:val="auto"/>
        </w:rPr>
        <w:t>Resale Shelf Registration Statement</w:t>
      </w:r>
      <w:r>
        <w:rPr>
          <w:rFonts w:ascii="Times New Roman" w:cs="Times New Roman" w:eastAsia="Times New Roman" w:hAnsi="Times New Roman"/>
          <w:sz w:val="21"/>
          <w:szCs w:val="21"/>
          <w:color w:val="auto"/>
        </w:rPr>
        <w:t>. No later than the expiration of the Lock-Up Period, the Company shall, at its cost, file with the SEC a registration statement covering the sale or distribution from time to time by the Holders, on a delayed or continuous basis pursuant to Rule 415 of the Securities Act, of all of the Registrable Securities on Form S-3 (except if the Company is not then eligible to register for resale the Registrable Securities on Form S-3, then such registration shall be on another appropriate form and shall provide for the registration of such Registrable Securities for resale by the Holders in accordance with any reasonable method of distribution elected by the Investor) (the “</w:t>
      </w:r>
      <w:r>
        <w:rPr>
          <w:rFonts w:ascii="Times New Roman" w:cs="Times New Roman" w:eastAsia="Times New Roman" w:hAnsi="Times New Roman"/>
          <w:sz w:val="21"/>
          <w:szCs w:val="21"/>
          <w:u w:val="single" w:color="auto"/>
          <w:color w:val="auto"/>
        </w:rPr>
        <w:t>Resale Shelf Registration Statement</w:t>
      </w:r>
      <w:r>
        <w:rPr>
          <w:rFonts w:ascii="Times New Roman" w:cs="Times New Roman" w:eastAsia="Times New Roman" w:hAnsi="Times New Roman"/>
          <w:sz w:val="21"/>
          <w:szCs w:val="21"/>
          <w:color w:val="auto"/>
        </w:rPr>
        <w:t>”) and the Company shall use its commercially reasonable efforts to cause such Resale Shelf Registration Statement to be declared effective by the SEC no later than the expiration of the Lock-Up Period (it being agreed that the Resale Shelf Registration Statement may be an Automatic Shelf Registration Statement as such term is defined in Rule 405 that shall become effective upon filing with the SEC pursuant to Rule 462(e) if Rule 462(e) is available to the Company).</w:t>
      </w:r>
    </w:p>
    <w:p>
      <w:pPr>
        <w:spacing w:after="0" w:line="17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1"/>
          <w:szCs w:val="21"/>
          <w:color w:val="auto"/>
        </w:rPr>
        <w:t>Section 1.2</w:t>
      </w:r>
      <w:r>
        <w:rPr>
          <w:sz w:val="20"/>
          <w:szCs w:val="20"/>
          <w:color w:val="auto"/>
        </w:rPr>
        <w:tab/>
      </w:r>
      <w:r>
        <w:rPr>
          <w:rFonts w:ascii="Times New Roman" w:cs="Times New Roman" w:eastAsia="Times New Roman" w:hAnsi="Times New Roman"/>
          <w:sz w:val="21"/>
          <w:szCs w:val="21"/>
          <w:u w:val="single" w:color="auto"/>
          <w:color w:val="auto"/>
        </w:rPr>
        <w:t>Effectiveness Period; Certain Representations</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jc w:val="both"/>
        <w:ind w:right="220" w:firstLine="652"/>
        <w:spacing w:after="0" w:line="266" w:lineRule="auto"/>
        <w:tabs>
          <w:tab w:leader="none" w:pos="1287"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Once declared effective, the Company shall, subject to the other applicable provisions of this Agreement, use its commercially reasonable efforts to cause the Resale Shelf Registration Statement to be continuously effective and usable by the Holders for sales and distributions of the Registrable Securities until such time as there are no longer any Registrable Securities (the “</w:t>
      </w:r>
      <w:r>
        <w:rPr>
          <w:rFonts w:ascii="Times New Roman" w:cs="Times New Roman" w:eastAsia="Times New Roman" w:hAnsi="Times New Roman"/>
          <w:sz w:val="21"/>
          <w:szCs w:val="21"/>
          <w:u w:val="single" w:color="auto"/>
          <w:color w:val="auto"/>
        </w:rPr>
        <w:t>Effectiveness Period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20"/>
          </w:cols>
          <w:pgMar w:left="320" w:top="1415" w:right="359" w:bottom="1440" w:gutter="0" w:footer="0" w:header="0"/>
        </w:sectPr>
      </w:pPr>
    </w:p>
    <w:bookmarkStart w:id="177" w:name="page178"/>
    <w:bookmarkEnd w:id="177"/>
    <w:p>
      <w:pPr>
        <w:ind w:firstLine="652"/>
        <w:spacing w:after="0" w:line="261" w:lineRule="auto"/>
        <w:tabs>
          <w:tab w:leader="none" w:pos="1285"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provisions hereof, the Company shall use its commercially reasonable efforts to provide that (i) any Shelf Registration Statement and any amendment thereto and any prospectus forming part thereof and any supplement thereto complies in all material respects with the Securities Act and the rules and regulations thereunder, (ii) any Shelf Registration Statement and any amendment thereto does not, when it becomes effective, contain an untrue statement of a material fact or omit to state a material fact required to be stated therein or necessary to make the statements therein not misleading and</w:t>
      </w:r>
    </w:p>
    <w:p>
      <w:pPr>
        <w:ind w:left="380" w:hanging="373"/>
        <w:spacing w:after="0"/>
        <w:tabs>
          <w:tab w:leader="none" w:pos="38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prospectus forming part of any Shelf Registration Statement, and any supplement to such prospectus (as amended or</w:t>
      </w:r>
    </w:p>
    <w:p>
      <w:pPr>
        <w:spacing w:after="0" w:line="13" w:lineRule="exact"/>
        <w:rPr>
          <w:rFonts w:ascii="Times New Roman" w:cs="Times New Roman" w:eastAsia="Times New Roman" w:hAnsi="Times New Roman"/>
          <w:sz w:val="21"/>
          <w:szCs w:val="21"/>
          <w:color w:val="auto"/>
        </w:rPr>
      </w:pPr>
    </w:p>
    <w:p>
      <w:pPr>
        <w:ind w:right="60"/>
        <w:spacing w:after="0" w:line="26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supplemented from time to time), does not include an untrue statement of a material fact or omit to state a material fact necessary in order to make the statements therein, in light of the circumstances under which they were made, not misleading. In order to assist the Company in complying with its obligations in </w:t>
      </w:r>
      <w:r>
        <w:rPr>
          <w:rFonts w:ascii="Times New Roman" w:cs="Times New Roman" w:eastAsia="Times New Roman" w:hAnsi="Times New Roman"/>
          <w:sz w:val="21"/>
          <w:szCs w:val="21"/>
          <w:u w:val="single" w:color="auto"/>
          <w:color w:val="auto"/>
        </w:rPr>
        <w:t>Sections 1.2(b)</w:t>
      </w:r>
      <w:r>
        <w:rPr>
          <w:rFonts w:ascii="Times New Roman" w:cs="Times New Roman" w:eastAsia="Times New Roman" w:hAnsi="Times New Roman"/>
          <w:sz w:val="21"/>
          <w:szCs w:val="21"/>
          <w:color w:val="auto"/>
        </w:rPr>
        <w:t xml:space="preserve">, the Holders shall comply with their obligations set forth in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firstLine="645"/>
        <w:spacing w:after="0" w:line="258" w:lineRule="auto"/>
        <w:rPr>
          <w:sz w:val="20"/>
          <w:szCs w:val="20"/>
          <w:color w:val="auto"/>
        </w:rPr>
      </w:pPr>
      <w:r>
        <w:rPr>
          <w:rFonts w:ascii="Times New Roman" w:cs="Times New Roman" w:eastAsia="Times New Roman" w:hAnsi="Times New Roman"/>
          <w:sz w:val="21"/>
          <w:szCs w:val="21"/>
          <w:color w:val="auto"/>
        </w:rPr>
        <w:t xml:space="preserve">Section 1.3 </w:t>
      </w:r>
      <w:r>
        <w:rPr>
          <w:rFonts w:ascii="Times New Roman" w:cs="Times New Roman" w:eastAsia="Times New Roman" w:hAnsi="Times New Roman"/>
          <w:sz w:val="21"/>
          <w:szCs w:val="21"/>
          <w:u w:val="single" w:color="auto"/>
          <w:color w:val="auto"/>
        </w:rPr>
        <w:t>Subsequent Shelf Registration Statement</w:t>
      </w:r>
      <w:r>
        <w:rPr>
          <w:rFonts w:ascii="Times New Roman" w:cs="Times New Roman" w:eastAsia="Times New Roman" w:hAnsi="Times New Roman"/>
          <w:sz w:val="21"/>
          <w:szCs w:val="21"/>
          <w:color w:val="auto"/>
        </w:rPr>
        <w:t>. If any Shelf Registration Statement ceases to be effective under the Securities Act for any reason at any time during the Effectiveness Period, the Company shall use its commercially reasonable efforts to, as promptly as is reasonably practicable, cause such Shelf Registration Statement to again become effective under the Securities Act (including obtaining the withdrawal of any order suspending the effectiveness of such Shelf Registration Statement), and shall use its commercially reasonable efforts to, as promptly as is reasonably practicable, amend such Shelf Registration Statement in a manner reasonably expected to result in the withdrawal of any order suspending the effectiveness of such Shelf Registration Statement or file an additional registration statement (a “</w:t>
      </w:r>
      <w:r>
        <w:rPr>
          <w:rFonts w:ascii="Times New Roman" w:cs="Times New Roman" w:eastAsia="Times New Roman" w:hAnsi="Times New Roman"/>
          <w:sz w:val="21"/>
          <w:szCs w:val="21"/>
          <w:u w:val="single" w:color="auto"/>
          <w:color w:val="auto"/>
        </w:rPr>
        <w:t>Subsequent Shelf Registration Statement</w:t>
      </w:r>
      <w:r>
        <w:rPr>
          <w:rFonts w:ascii="Times New Roman" w:cs="Times New Roman" w:eastAsia="Times New Roman" w:hAnsi="Times New Roman"/>
          <w:sz w:val="21"/>
          <w:szCs w:val="21"/>
          <w:color w:val="auto"/>
        </w:rPr>
        <w:t>”) for an offering to be made on a delayed or continuous basis pursuant to Rule 415 of the Securities Act registering the resale from time to time by the Holders thereof of all securities that are Registrable Securities as of the time of such filing. If a Subsequent Shelf Registration Statement is filed, the Company shall use its commercially reasonable efforts to (a) cause such Subsequent Shelf Registration Statement to become effective under the Securities Act as promptly as reasonably practicable after the filing thereof (it being agreed that the Subsequent Shelf Registration Statement may be an Automatic Shelf Registration Statement as such term is defined in Rule 405 that shall become effective upon filing with the SEC pursuant to Rule 462(e) if Rule 462(e) is available to the Company) and (b) keep such Subsequent Shelf Registration Statement continuously effective and usable by the Holders for sales and distributions of Registrable Securities until the end of the Effectiveness Period. Any such Subsequent Shelf Registration Statement shall be a registration statement on Form S-3 to the extent that the Company is eligible to use such form. Otherwise, such Subsequent Shelf Registration Statement shall be on another appropriate form and shall provide for the registration of such Registrable Securities for resale by the Holders in accordance with any reasonable method of distribution elected by the Holders.</w:t>
      </w:r>
    </w:p>
    <w:p>
      <w:pPr>
        <w:spacing w:after="0" w:line="178" w:lineRule="exact"/>
        <w:rPr>
          <w:sz w:val="20"/>
          <w:szCs w:val="20"/>
          <w:color w:val="auto"/>
        </w:rPr>
      </w:pPr>
    </w:p>
    <w:p>
      <w:pPr>
        <w:ind w:right="40" w:firstLine="645"/>
        <w:spacing w:after="0" w:line="266" w:lineRule="auto"/>
        <w:rPr>
          <w:sz w:val="20"/>
          <w:szCs w:val="20"/>
          <w:color w:val="auto"/>
        </w:rPr>
      </w:pPr>
      <w:r>
        <w:rPr>
          <w:rFonts w:ascii="Times New Roman" w:cs="Times New Roman" w:eastAsia="Times New Roman" w:hAnsi="Times New Roman"/>
          <w:sz w:val="21"/>
          <w:szCs w:val="21"/>
          <w:color w:val="auto"/>
        </w:rPr>
        <w:t xml:space="preserve">Section 1.4 </w:t>
      </w:r>
      <w:r>
        <w:rPr>
          <w:rFonts w:ascii="Times New Roman" w:cs="Times New Roman" w:eastAsia="Times New Roman" w:hAnsi="Times New Roman"/>
          <w:sz w:val="21"/>
          <w:szCs w:val="21"/>
          <w:u w:val="single" w:color="auto"/>
          <w:color w:val="auto"/>
        </w:rPr>
        <w:t>Supplements and Amendments</w:t>
      </w:r>
      <w:r>
        <w:rPr>
          <w:rFonts w:ascii="Times New Roman" w:cs="Times New Roman" w:eastAsia="Times New Roman" w:hAnsi="Times New Roman"/>
          <w:sz w:val="21"/>
          <w:szCs w:val="21"/>
          <w:color w:val="auto"/>
        </w:rPr>
        <w:t>. The Company shall supplement and amend any Shelf Registration Statement if required by the Securities Act, or to the extent the Company does not reasonably object, as reasonably requested in writing by the Holders with respect to information relating to the applicable Holder, and to furnish to the Holders that are covered under such Shelf Registration Statement copies of any such supplement or amendment promptly after its being used or filed with the SEC in such amounts as they may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00"/>
          </w:cols>
          <w:pgMar w:left="320" w:top="1415" w:right="379" w:bottom="1440" w:gutter="0" w:footer="0" w:header="0"/>
        </w:sectPr>
      </w:pPr>
    </w:p>
    <w:bookmarkStart w:id="178" w:name="page179"/>
    <w:bookmarkEnd w:id="178"/>
    <w:p>
      <w:pPr>
        <w:ind w:right="40" w:firstLine="645"/>
        <w:spacing w:after="0" w:line="270" w:lineRule="auto"/>
        <w:rPr>
          <w:sz w:val="20"/>
          <w:szCs w:val="20"/>
          <w:color w:val="auto"/>
        </w:rPr>
      </w:pPr>
      <w:r>
        <w:rPr>
          <w:rFonts w:ascii="Times New Roman" w:cs="Times New Roman" w:eastAsia="Times New Roman" w:hAnsi="Times New Roman"/>
          <w:sz w:val="21"/>
          <w:szCs w:val="21"/>
          <w:color w:val="auto"/>
        </w:rPr>
        <w:t xml:space="preserve">Section 1.5 </w:t>
      </w:r>
      <w:r>
        <w:rPr>
          <w:rFonts w:ascii="Times New Roman" w:cs="Times New Roman" w:eastAsia="Times New Roman" w:hAnsi="Times New Roman"/>
          <w:sz w:val="21"/>
          <w:szCs w:val="21"/>
          <w:u w:val="single" w:color="auto"/>
          <w:color w:val="auto"/>
        </w:rPr>
        <w:t>Subsequent Holder Notice</w:t>
      </w:r>
      <w:r>
        <w:rPr>
          <w:rFonts w:ascii="Times New Roman" w:cs="Times New Roman" w:eastAsia="Times New Roman" w:hAnsi="Times New Roman"/>
          <w:sz w:val="21"/>
          <w:szCs w:val="21"/>
          <w:color w:val="auto"/>
        </w:rPr>
        <w:t>. If a Person entitled to the benefits of this Agreement becomes a Holder of Registrable Securities after a Shelf Registration Statement becomes effective under the Securities Act, the Company shall, as promptly as is reasonably practicable following delivery of written notice to the Company of such Person becoming a Holder and requesting for its name to be included as a selling securityholder in the prospectus related to the Shelf Registration Statement:</w:t>
      </w:r>
    </w:p>
    <w:p>
      <w:pPr>
        <w:spacing w:after="0" w:line="163" w:lineRule="exact"/>
        <w:rPr>
          <w:sz w:val="20"/>
          <w:szCs w:val="20"/>
          <w:color w:val="auto"/>
        </w:rPr>
      </w:pPr>
    </w:p>
    <w:p>
      <w:pPr>
        <w:jc w:val="both"/>
        <w:ind w:right="20" w:firstLine="652"/>
        <w:spacing w:after="0" w:line="266" w:lineRule="auto"/>
        <w:tabs>
          <w:tab w:leader="none" w:pos="1287"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required and permitted by applicable law, file with the SEC a supplement to the related prospectus or a post-effective amendment to the Shelf Registration Statement so that such Holder is named as a selling securityholder in the Shelf Registration Statement and the related prospectus in such a manner as to permit such Holder to deliver a prospectus to purchasers of the Registrable Securities in accordance with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Company shall not be required to file more than one post-effective amendment or a supplement to the related prospectus for such purpose in any 180-day period;</w:t>
      </w:r>
    </w:p>
    <w:p>
      <w:pPr>
        <w:spacing w:after="0" w:line="166" w:lineRule="exact"/>
        <w:rPr>
          <w:rFonts w:ascii="Times New Roman" w:cs="Times New Roman" w:eastAsia="Times New Roman" w:hAnsi="Times New Roman"/>
          <w:sz w:val="21"/>
          <w:szCs w:val="21"/>
          <w:color w:val="auto"/>
        </w:rPr>
      </w:pPr>
    </w:p>
    <w:p>
      <w:pPr>
        <w:jc w:val="both"/>
        <w:ind w:right="200" w:firstLine="652"/>
        <w:spacing w:after="0" w:line="272" w:lineRule="auto"/>
        <w:tabs>
          <w:tab w:leader="none" w:pos="1285"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pursuant to </w:t>
      </w:r>
      <w:r>
        <w:rPr>
          <w:rFonts w:ascii="Times New Roman" w:cs="Times New Roman" w:eastAsia="Times New Roman" w:hAnsi="Times New Roman"/>
          <w:sz w:val="21"/>
          <w:szCs w:val="21"/>
          <w:u w:val="single" w:color="auto"/>
          <w:color w:val="auto"/>
        </w:rPr>
        <w:t>Section 1.5(a)</w:t>
      </w:r>
      <w:r>
        <w:rPr>
          <w:rFonts w:ascii="Times New Roman" w:cs="Times New Roman" w:eastAsia="Times New Roman" w:hAnsi="Times New Roman"/>
          <w:sz w:val="21"/>
          <w:szCs w:val="21"/>
          <w:color w:val="auto"/>
        </w:rPr>
        <w:t>, the Company shall have filed a post-effective amendment to the Shelf Registration Statement that is not automatically effective, use its commercially reasonable efforts to cause such post-effective amendment to become effective under the Securities Act as promptly as is reasonably practicable; and</w:t>
      </w:r>
    </w:p>
    <w:p>
      <w:pPr>
        <w:spacing w:after="0" w:line="159" w:lineRule="exact"/>
        <w:rPr>
          <w:rFonts w:ascii="Times New Roman" w:cs="Times New Roman" w:eastAsia="Times New Roman" w:hAnsi="Times New Roman"/>
          <w:sz w:val="21"/>
          <w:szCs w:val="21"/>
          <w:color w:val="auto"/>
        </w:rPr>
      </w:pPr>
    </w:p>
    <w:p>
      <w:pPr>
        <w:ind w:right="120" w:firstLine="652"/>
        <w:spacing w:after="0" w:line="291" w:lineRule="auto"/>
        <w:tabs>
          <w:tab w:leader="none" w:pos="1287"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notify such Holder as promptly as is reasonably practicable after the effectiveness under the Securities Act of any post-effective amendment filed pursuant to </w:t>
      </w:r>
      <w:r>
        <w:rPr>
          <w:rFonts w:ascii="Times New Roman" w:cs="Times New Roman" w:eastAsia="Times New Roman" w:hAnsi="Times New Roman"/>
          <w:sz w:val="21"/>
          <w:szCs w:val="21"/>
          <w:u w:val="single" w:color="auto"/>
          <w:color w:val="auto"/>
        </w:rPr>
        <w:t>Section 1.5(a)</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1"/>
          <w:szCs w:val="21"/>
          <w:color w:val="auto"/>
        </w:rPr>
        <w:t>Section 1.6</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ind w:firstLine="645"/>
        <w:spacing w:after="0" w:line="261" w:lineRule="auto"/>
        <w:rPr>
          <w:sz w:val="20"/>
          <w:szCs w:val="20"/>
          <w:color w:val="auto"/>
        </w:rPr>
      </w:pPr>
      <w:r>
        <w:rPr>
          <w:rFonts w:ascii="Times New Roman" w:cs="Times New Roman" w:eastAsia="Times New Roman" w:hAnsi="Times New Roman"/>
          <w:sz w:val="21"/>
          <w:szCs w:val="21"/>
          <w:color w:val="auto"/>
        </w:rPr>
        <w:t xml:space="preserve">Section 1.7 </w:t>
      </w:r>
      <w:r>
        <w:rPr>
          <w:rFonts w:ascii="Times New Roman" w:cs="Times New Roman" w:eastAsia="Times New Roman" w:hAnsi="Times New Roman"/>
          <w:sz w:val="21"/>
          <w:szCs w:val="21"/>
          <w:u w:val="single" w:color="auto"/>
          <w:color w:val="auto"/>
        </w:rPr>
        <w:t>Take-Down Notice</w:t>
      </w:r>
      <w:r>
        <w:rPr>
          <w:rFonts w:ascii="Times New Roman" w:cs="Times New Roman" w:eastAsia="Times New Roman" w:hAnsi="Times New Roman"/>
          <w:sz w:val="21"/>
          <w:szCs w:val="21"/>
          <w:color w:val="auto"/>
        </w:rPr>
        <w:t>. Subject to the other applicable provisions of this Agreement and any restrictions on transfer in the Company Charter Documents and the Subscription Agreement, at any time that any Shelf Registration Statement is effective, if a Holder delivers a notice to the Company (a “</w:t>
      </w:r>
      <w:r>
        <w:rPr>
          <w:rFonts w:ascii="Times New Roman" w:cs="Times New Roman" w:eastAsia="Times New Roman" w:hAnsi="Times New Roman"/>
          <w:sz w:val="21"/>
          <w:szCs w:val="21"/>
          <w:u w:val="single" w:color="auto"/>
          <w:color w:val="auto"/>
        </w:rPr>
        <w:t>Take-Down Notice</w:t>
      </w:r>
      <w:r>
        <w:rPr>
          <w:rFonts w:ascii="Times New Roman" w:cs="Times New Roman" w:eastAsia="Times New Roman" w:hAnsi="Times New Roman"/>
          <w:sz w:val="21"/>
          <w:szCs w:val="21"/>
          <w:color w:val="auto"/>
        </w:rPr>
        <w:t>”) stating that it intends to effect a sale or distribution (a “</w:t>
      </w:r>
      <w:r>
        <w:rPr>
          <w:rFonts w:ascii="Times New Roman" w:cs="Times New Roman" w:eastAsia="Times New Roman" w:hAnsi="Times New Roman"/>
          <w:sz w:val="21"/>
          <w:szCs w:val="21"/>
          <w:u w:val="single" w:color="auto"/>
          <w:color w:val="auto"/>
        </w:rPr>
        <w:t>Shelf Offering</w:t>
      </w:r>
      <w:r>
        <w:rPr>
          <w:rFonts w:ascii="Times New Roman" w:cs="Times New Roman" w:eastAsia="Times New Roman" w:hAnsi="Times New Roman"/>
          <w:sz w:val="21"/>
          <w:szCs w:val="21"/>
          <w:color w:val="auto"/>
        </w:rPr>
        <w:t>”) of all or part of its Registrable Securities included by it on any Shelf Registration Statement, which shall not be an underwritten public offering or a Block Trade, and stating the number of Registrable Securities to be included in such Shelf Offering, then, subject to the other applicable provisions of this Agreement, the Company shall promptly amend or supplement the Shelf Registration Statement as may be necessary in order to enable such Registrable Securities to be sold and distributed pursuant to the Shelf Offering.</w:t>
      </w:r>
    </w:p>
    <w:p>
      <w:pPr>
        <w:spacing w:after="0" w:line="17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1"/>
          <w:szCs w:val="21"/>
          <w:color w:val="auto"/>
        </w:rPr>
        <w:t>Section 1.8</w:t>
      </w:r>
      <w:r>
        <w:rPr>
          <w:sz w:val="20"/>
          <w:szCs w:val="20"/>
          <w:color w:val="auto"/>
        </w:rPr>
        <w:tab/>
      </w:r>
      <w:r>
        <w:rPr>
          <w:rFonts w:ascii="Times New Roman" w:cs="Times New Roman" w:eastAsia="Times New Roman" w:hAnsi="Times New Roman"/>
          <w:sz w:val="21"/>
          <w:szCs w:val="21"/>
          <w:u w:val="single" w:color="auto"/>
          <w:color w:val="auto"/>
        </w:rPr>
        <w:t>Piggyback Registration</w:t>
      </w:r>
      <w:r>
        <w:rPr>
          <w:rFonts w:ascii="Times New Roman" w:cs="Times New Roman" w:eastAsia="Times New Roman" w:hAnsi="Times New Roman"/>
          <w:sz w:val="21"/>
          <w:szCs w:val="21"/>
          <w:color w:val="auto"/>
        </w:rPr>
        <w:t>.</w:t>
      </w:r>
    </w:p>
    <w:p>
      <w:pPr>
        <w:spacing w:after="0" w:line="242" w:lineRule="exact"/>
        <w:rPr>
          <w:sz w:val="20"/>
          <w:szCs w:val="20"/>
          <w:color w:val="auto"/>
        </w:rPr>
      </w:pPr>
    </w:p>
    <w:p>
      <w:pPr>
        <w:ind w:right="260" w:firstLine="652"/>
        <w:spacing w:after="0" w:line="263" w:lineRule="auto"/>
        <w:tabs>
          <w:tab w:leader="none" w:pos="1099"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the Company proposes to file a registration statement under the Securities Act with respect to an offering following the expiration of the Lock-Up Period, or the Company proposes a shelf take-down of Common Shares or securities convertible into, or exchangeable or exercisable for, Common Shares, whether or not for sale for its own account following the expiration of the Lock-Up Period (other than a registration statement (i) on Form S-4, Form S-8 or any successor forms thereto or (ii) filed to effectuate an exchange offer or any merger or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180"/>
          </w:cols>
          <w:pgMar w:left="320" w:top="1415" w:right="399" w:bottom="1440" w:gutter="0" w:footer="0" w:header="0"/>
        </w:sectPr>
      </w:pPr>
    </w:p>
    <w:bookmarkStart w:id="179" w:name="page180"/>
    <w:bookmarkEnd w:id="179"/>
    <w:p>
      <w:pPr>
        <w:spacing w:after="0" w:line="259" w:lineRule="auto"/>
        <w:rPr>
          <w:sz w:val="20"/>
          <w:szCs w:val="20"/>
          <w:color w:val="auto"/>
        </w:rPr>
      </w:pPr>
      <w:r>
        <w:rPr>
          <w:rFonts w:ascii="Times New Roman" w:cs="Times New Roman" w:eastAsia="Times New Roman" w:hAnsi="Times New Roman"/>
          <w:sz w:val="21"/>
          <w:szCs w:val="21"/>
          <w:color w:val="auto"/>
        </w:rPr>
        <w:t>amalgamation, scheme of arrangement, employee benefit, equity compensation, incentive or dividend reinvestment plan or a Block Trade), then the Company shall give written notice of such filing or offering, which notice shall be given, to the extent reasonably practicable, no later than five (5) Business Days prior to the filing or launch date (the “</w:t>
      </w:r>
      <w:r>
        <w:rPr>
          <w:rFonts w:ascii="Times New Roman" w:cs="Times New Roman" w:eastAsia="Times New Roman" w:hAnsi="Times New Roman"/>
          <w:sz w:val="21"/>
          <w:szCs w:val="21"/>
          <w:u w:val="single" w:color="auto"/>
          <w:color w:val="auto"/>
        </w:rPr>
        <w:t>Piggyback Notice</w:t>
      </w:r>
      <w:r>
        <w:rPr>
          <w:rFonts w:ascii="Times New Roman" w:cs="Times New Roman" w:eastAsia="Times New Roman" w:hAnsi="Times New Roman"/>
          <w:sz w:val="21"/>
          <w:szCs w:val="21"/>
          <w:color w:val="auto"/>
        </w:rPr>
        <w:t>”) to each of the Holders of Registrable Securities (except in the case of an offering that is an “overnight offering”, in which case such notice must be given no later than three (3) Business Days prior to the filing or launch date). The Piggyback Notice shall offer such Holders the opportunity to include (or cause to be included) in such registration statement or offering the number of Registrable Securities as each such Holder may request (each, a “</w:t>
      </w:r>
      <w:r>
        <w:rPr>
          <w:rFonts w:ascii="Times New Roman" w:cs="Times New Roman" w:eastAsia="Times New Roman" w:hAnsi="Times New Roman"/>
          <w:sz w:val="21"/>
          <w:szCs w:val="21"/>
          <w:u w:val="single" w:color="auto"/>
          <w:color w:val="auto"/>
        </w:rPr>
        <w:t>Piggyback Registration Statement</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1.8(b)</w:t>
      </w:r>
      <w:r>
        <w:rPr>
          <w:rFonts w:ascii="Times New Roman" w:cs="Times New Roman" w:eastAsia="Times New Roman" w:hAnsi="Times New Roman"/>
          <w:sz w:val="21"/>
          <w:szCs w:val="21"/>
          <w:color w:val="auto"/>
        </w:rPr>
        <w:t>, the Company shall include in each Piggyback Registration Statement all Registrable Securities with respect to which the Company has received written requests for inclusion therein (each a “</w:t>
      </w:r>
      <w:r>
        <w:rPr>
          <w:rFonts w:ascii="Times New Roman" w:cs="Times New Roman" w:eastAsia="Times New Roman" w:hAnsi="Times New Roman"/>
          <w:sz w:val="21"/>
          <w:szCs w:val="21"/>
          <w:u w:val="single" w:color="auto"/>
          <w:color w:val="auto"/>
        </w:rPr>
        <w:t>Piggyback Request</w:t>
      </w:r>
      <w:r>
        <w:rPr>
          <w:rFonts w:ascii="Times New Roman" w:cs="Times New Roman" w:eastAsia="Times New Roman" w:hAnsi="Times New Roman"/>
          <w:sz w:val="21"/>
          <w:szCs w:val="21"/>
          <w:color w:val="auto"/>
        </w:rPr>
        <w:t>”) promptly following delivery of the Piggyback Notice but in any event no later than two (2) Business Days prior to the filing date of a Piggyback Registration Statement. Notwithstanding the foregoing, if, at any time after giving written notice of its intention to register any securities and prior to the effective date of the Piggyback Registration Statement, the Company shall determine for any reason not to proceed with the proposed registration of the securities to be sold by it, the Company may, at its election, give written notice of such determination to each Holder that requested to participate in an offering initiated by the Company, and thereupon shall be relieved of its obligation to register any Registrable Securities in connection with such registration.</w:t>
      </w:r>
    </w:p>
    <w:p>
      <w:pPr>
        <w:spacing w:after="0" w:line="176" w:lineRule="exact"/>
        <w:rPr>
          <w:sz w:val="20"/>
          <w:szCs w:val="20"/>
          <w:color w:val="auto"/>
        </w:rPr>
      </w:pPr>
    </w:p>
    <w:p>
      <w:pPr>
        <w:ind w:firstLine="652"/>
        <w:spacing w:after="0" w:line="258" w:lineRule="auto"/>
        <w:tabs>
          <w:tab w:leader="none" w:pos="1111"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of the securities to be registered pursuant to the registration giving rise to the rights under this </w:t>
      </w:r>
      <w:r>
        <w:rPr>
          <w:rFonts w:ascii="Times New Roman" w:cs="Times New Roman" w:eastAsia="Times New Roman" w:hAnsi="Times New Roman"/>
          <w:sz w:val="21"/>
          <w:szCs w:val="21"/>
          <w:u w:val="single" w:color="auto"/>
          <w:color w:val="auto"/>
        </w:rPr>
        <w:t>Section 1.8</w:t>
      </w:r>
      <w:r>
        <w:rPr>
          <w:rFonts w:ascii="Times New Roman" w:cs="Times New Roman" w:eastAsia="Times New Roman" w:hAnsi="Times New Roman"/>
          <w:sz w:val="21"/>
          <w:szCs w:val="21"/>
          <w:color w:val="auto"/>
        </w:rPr>
        <w:t xml:space="preserve"> are to be sold in an underwritten offering, the Company shall use commercially reasonable efforts to cause the managing underwriter or underwriters selected by the Company of a proposed underwritten offering to permit Holders of Registrable Securities who have timely submitted a Piggyback Request in connection with such offering to include in such offering all Registrable Securities included in each Holder’s Piggyback Request on the same terms and subject to the same conditions as any other shares, if any, of the Company included in the offering, and any Holders exercising piggyback rights will enter into an underwriting agreement with the managing underwriters and the Company setting forth such terms. Notwithstanding the foregoing, if the managing underwriter or underwriters of such underwritten offering advise the Company in writing that in its or their good faith opinion the number of securities exceeds the number of securities which can be sold in such offering in light of market conditions or is such so as to adversely affect the success of such offering, the Company will include in such offering only such number of securities that can be sold without adversely affecting the marketability of the offering, which securities will be so included in the following order of priority: (i) first, the securities proposed to be sold by the Company for its own account; (ii) second, the Registrable Securities of the GP Holders that have requested to participate in such underwritten offering, allocated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among such GP Holders on the basis of the percentage of the Registrable Securities then-owned by such GP Holders; (iii) third, the Registrable Securities of the Holders that have requested to participate in such underwritten offering,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among such Holders on the basis of the percentage of the Registrable Securities then-owned by such Holders; (iv) fourth, any other securities of the Company that have been requested to be included in such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00"/>
          </w:cols>
          <w:pgMar w:left="320" w:top="1415" w:right="379" w:bottom="1440" w:gutter="0" w:footer="0" w:header="0"/>
        </w:sectPr>
      </w:pPr>
    </w:p>
    <w:bookmarkStart w:id="180" w:name="page181"/>
    <w:bookmarkEnd w:id="180"/>
    <w:p>
      <w:pPr>
        <w:ind w:firstLine="645"/>
        <w:spacing w:after="0" w:line="260" w:lineRule="auto"/>
        <w:rPr>
          <w:sz w:val="20"/>
          <w:szCs w:val="20"/>
          <w:color w:val="auto"/>
        </w:rPr>
      </w:pPr>
      <w:r>
        <w:rPr>
          <w:rFonts w:ascii="Times New Roman" w:cs="Times New Roman" w:eastAsia="Times New Roman" w:hAnsi="Times New Roman"/>
          <w:sz w:val="21"/>
          <w:szCs w:val="21"/>
          <w:color w:val="auto"/>
        </w:rPr>
        <w:t xml:space="preserve">Section 1.9 </w:t>
      </w:r>
      <w:r>
        <w:rPr>
          <w:rFonts w:ascii="Times New Roman" w:cs="Times New Roman" w:eastAsia="Times New Roman" w:hAnsi="Times New Roman"/>
          <w:sz w:val="21"/>
          <w:szCs w:val="21"/>
          <w:u w:val="single" w:color="auto"/>
          <w:color w:val="auto"/>
        </w:rPr>
        <w:t>“Market Stand-off” Agreement</w:t>
      </w:r>
      <w:r>
        <w:rPr>
          <w:rFonts w:ascii="Times New Roman" w:cs="Times New Roman" w:eastAsia="Times New Roman" w:hAnsi="Times New Roman"/>
          <w:sz w:val="21"/>
          <w:szCs w:val="21"/>
          <w:color w:val="auto"/>
        </w:rPr>
        <w:t xml:space="preserve">. The Holders shall not sell, transfer, make any short sale of, grant any option for the purchase of, or enter into any hedging or similar transaction with the same economic effect as a sale with respect to, any Common Shares (or other securities of the Company) held by the Holders (other than the Common Shares included in the registration) for a period specified by the representatives of the managing underwriter or underwriters of Common Shares (or other securities of the Company convertible into Common Shares) not to exceed five (5) days prior and ninety (90) days following any registered public sale of securities by the Company in which such Holder participates in accordance with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except (i) in the case of a private sale or distribution, with the transferee agreeing in writing to be subject to the restrictions on transfer contained in this </w:t>
      </w:r>
      <w:r>
        <w:rPr>
          <w:rFonts w:ascii="Times New Roman" w:cs="Times New Roman" w:eastAsia="Times New Roman" w:hAnsi="Times New Roman"/>
          <w:sz w:val="21"/>
          <w:szCs w:val="21"/>
          <w:u w:val="single" w:color="auto"/>
          <w:color w:val="auto"/>
        </w:rPr>
        <w:t>Section 1.9</w:t>
      </w:r>
      <w:r>
        <w:rPr>
          <w:rFonts w:ascii="Times New Roman" w:cs="Times New Roman" w:eastAsia="Times New Roman" w:hAnsi="Times New Roman"/>
          <w:sz w:val="21"/>
          <w:szCs w:val="21"/>
          <w:color w:val="auto"/>
        </w:rPr>
        <w:t>, and (ii) as expressly permitted by such lock-up agreement or in the event the managing underwriter or underwriters otherwise agree by written consent. Each Holder shall also execute and deliver any “lock-up” agreement reasonably requested by the managing underwriter or underwriters of the Company in connection with an offering.</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ARTICLE II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Additional Provisions Regarding Registration Rights</w:t>
      </w:r>
    </w:p>
    <w:p>
      <w:pPr>
        <w:spacing w:after="0" w:line="229" w:lineRule="exact"/>
        <w:rPr>
          <w:sz w:val="20"/>
          <w:szCs w:val="20"/>
          <w:color w:val="auto"/>
        </w:rPr>
      </w:pPr>
    </w:p>
    <w:p>
      <w:pPr>
        <w:ind w:right="380" w:firstLine="645"/>
        <w:spacing w:after="0" w:line="291" w:lineRule="auto"/>
        <w:rPr>
          <w:sz w:val="20"/>
          <w:szCs w:val="20"/>
          <w:color w:val="auto"/>
        </w:rPr>
      </w:pPr>
      <w:r>
        <w:rPr>
          <w:rFonts w:ascii="Times New Roman" w:cs="Times New Roman" w:eastAsia="Times New Roman" w:hAnsi="Times New Roman"/>
          <w:sz w:val="21"/>
          <w:szCs w:val="21"/>
          <w:color w:val="auto"/>
        </w:rPr>
        <w:t xml:space="preserve">Section 2.1 </w:t>
      </w:r>
      <w:r>
        <w:rPr>
          <w:rFonts w:ascii="Times New Roman" w:cs="Times New Roman" w:eastAsia="Times New Roman" w:hAnsi="Times New Roman"/>
          <w:sz w:val="21"/>
          <w:szCs w:val="21"/>
          <w:u w:val="single" w:color="auto"/>
          <w:color w:val="auto"/>
        </w:rPr>
        <w:t>Registration Procedures</w:t>
      </w:r>
      <w:r>
        <w:rPr>
          <w:rFonts w:ascii="Times New Roman" w:cs="Times New Roman" w:eastAsia="Times New Roman" w:hAnsi="Times New Roman"/>
          <w:sz w:val="21"/>
          <w:szCs w:val="21"/>
          <w:color w:val="auto"/>
        </w:rPr>
        <w:t xml:space="preserve">. Subject to the other applicable provisions of this Agreement, in the case of each registration of Registrable Securities effected by the Company pursuant to </w:t>
      </w:r>
      <w:r>
        <w:rPr>
          <w:rFonts w:ascii="Times New Roman" w:cs="Times New Roman" w:eastAsia="Times New Roman" w:hAnsi="Times New Roman"/>
          <w:sz w:val="21"/>
          <w:szCs w:val="21"/>
          <w:u w:val="single" w:color="auto"/>
          <w:color w:val="auto"/>
        </w:rPr>
        <w:t>Article I</w:t>
      </w:r>
      <w:r>
        <w:rPr>
          <w:rFonts w:ascii="Times New Roman" w:cs="Times New Roman" w:eastAsia="Times New Roman" w:hAnsi="Times New Roman"/>
          <w:sz w:val="21"/>
          <w:szCs w:val="21"/>
          <w:color w:val="auto"/>
        </w:rPr>
        <w:t>, the Company shall:</w:t>
      </w:r>
    </w:p>
    <w:p>
      <w:pPr>
        <w:spacing w:after="0" w:line="153" w:lineRule="exact"/>
        <w:rPr>
          <w:sz w:val="20"/>
          <w:szCs w:val="20"/>
          <w:color w:val="auto"/>
        </w:rPr>
      </w:pPr>
    </w:p>
    <w:p>
      <w:pPr>
        <w:ind w:right="820" w:firstLine="652"/>
        <w:spacing w:after="0" w:line="272" w:lineRule="auto"/>
        <w:tabs>
          <w:tab w:leader="none" w:pos="1287"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and promptly file with the SEC a registration statement with respect to such securities and use commercially reasonable efforts to cause such registration statement to become and remain effective for the period of the distribution contemplated thereby, in accordance with the applicable provisions of this Agreement;</w:t>
      </w:r>
    </w:p>
    <w:p>
      <w:pPr>
        <w:spacing w:after="0" w:line="159" w:lineRule="exact"/>
        <w:rPr>
          <w:rFonts w:ascii="Times New Roman" w:cs="Times New Roman" w:eastAsia="Times New Roman" w:hAnsi="Times New Roman"/>
          <w:sz w:val="21"/>
          <w:szCs w:val="21"/>
          <w:color w:val="auto"/>
        </w:rPr>
      </w:pPr>
    </w:p>
    <w:p>
      <w:pPr>
        <w:ind w:right="140" w:firstLine="652"/>
        <w:spacing w:after="0" w:line="266" w:lineRule="auto"/>
        <w:tabs>
          <w:tab w:leader="none" w:pos="1285"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and file with the SEC such amendments (including post-effective amendments) and supplements to such registration statement and the prospectus used in connection with such registration statement as may be necessary to keep such registration statement effective for the period specified in paragraph (a) above and comply with the provisions of the Securities Act with respect to the disposition of all securities covered by such registration statement in accordance with a Holder’s intended method of distribution set forth in such registration statement for such period;</w:t>
      </w:r>
    </w:p>
    <w:p>
      <w:pPr>
        <w:spacing w:after="0" w:line="166" w:lineRule="exact"/>
        <w:rPr>
          <w:rFonts w:ascii="Times New Roman" w:cs="Times New Roman" w:eastAsia="Times New Roman" w:hAnsi="Times New Roman"/>
          <w:sz w:val="21"/>
          <w:szCs w:val="21"/>
          <w:color w:val="auto"/>
        </w:rPr>
      </w:pPr>
    </w:p>
    <w:p>
      <w:pPr>
        <w:ind w:firstLine="652"/>
        <w:spacing w:after="0" w:line="270" w:lineRule="auto"/>
        <w:tabs>
          <w:tab w:leader="none" w:pos="1287"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furnish to legal counsel for each Holder participating in such registration and to the underwriters of the securities being registered such reasonable number of copies of the registration statement and the prospectus included therein (including each preliminary prospectus) proposed to be filed and provide such legal counsel a reasonable opportunity to review and comment on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15" w:right="339" w:bottom="1440" w:gutter="0" w:footer="0" w:header="0"/>
        </w:sectPr>
      </w:pPr>
    </w:p>
    <w:bookmarkStart w:id="181" w:name="page182"/>
    <w:bookmarkEnd w:id="181"/>
    <w:p>
      <w:pPr>
        <w:ind w:left="-20" w:right="140" w:firstLine="652"/>
        <w:spacing w:after="0" w:line="263" w:lineRule="auto"/>
        <w:tabs>
          <w:tab w:leader="none" w:pos="1265"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requested by the managing underwriter or underwriters, if any, or the Holders, promptly include in any prospectus supplement or post-effective amendment such information as the managing underwriter or underwriters, if any, or the Holders may reasonably request in order to permit the intended method of distribution of such securities and make all required filings of such prospectus supplement or post-effective amendment as soon as reasonably practicable after the Company has received such request;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Company shall not be required to take any actions under this </w:t>
      </w:r>
      <w:r>
        <w:rPr>
          <w:rFonts w:ascii="Times New Roman" w:cs="Times New Roman" w:eastAsia="Times New Roman" w:hAnsi="Times New Roman"/>
          <w:sz w:val="21"/>
          <w:szCs w:val="21"/>
          <w:u w:val="single" w:color="auto"/>
          <w:color w:val="auto"/>
        </w:rPr>
        <w:t>Section 2.1(d)</w:t>
      </w:r>
      <w:r>
        <w:rPr>
          <w:rFonts w:ascii="Times New Roman" w:cs="Times New Roman" w:eastAsia="Times New Roman" w:hAnsi="Times New Roman"/>
          <w:sz w:val="21"/>
          <w:szCs w:val="21"/>
          <w:color w:val="auto"/>
        </w:rPr>
        <w:t xml:space="preserve"> that are not, in the opinion of counsel for the Company, in compliance with applicable law;</w:t>
      </w:r>
    </w:p>
    <w:p>
      <w:pPr>
        <w:spacing w:after="0" w:line="172" w:lineRule="exact"/>
        <w:rPr>
          <w:rFonts w:ascii="Times New Roman" w:cs="Times New Roman" w:eastAsia="Times New Roman" w:hAnsi="Times New Roman"/>
          <w:sz w:val="21"/>
          <w:szCs w:val="21"/>
          <w:color w:val="auto"/>
        </w:rPr>
      </w:pPr>
    </w:p>
    <w:p>
      <w:pPr>
        <w:ind w:left="-20" w:right="20" w:firstLine="652"/>
        <w:spacing w:after="0" w:line="270" w:lineRule="auto"/>
        <w:tabs>
          <w:tab w:leader="none" w:pos="1267"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Registrable Securities are being offered in an underwritten public offering, furnish to the Holders participating in the offering and to the underwriters of the securities being registered such reasonable number of copies of the registration statement, preliminary prospectus and final prospectus as the participating Holders or such underwriters may reasonably request in order to facilitate the public offering or other disposition of such securities;</w:t>
      </w:r>
    </w:p>
    <w:p>
      <w:pPr>
        <w:spacing w:after="0" w:line="162" w:lineRule="exact"/>
        <w:rPr>
          <w:rFonts w:ascii="Times New Roman" w:cs="Times New Roman" w:eastAsia="Times New Roman" w:hAnsi="Times New Roman"/>
          <w:sz w:val="21"/>
          <w:szCs w:val="21"/>
          <w:color w:val="auto"/>
        </w:rPr>
      </w:pPr>
    </w:p>
    <w:p>
      <w:pPr>
        <w:ind w:left="-20" w:right="240" w:firstLine="652"/>
        <w:spacing w:after="0" w:line="260" w:lineRule="auto"/>
        <w:tabs>
          <w:tab w:leader="none" w:pos="127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promptly as is reasonably practicable notify the Holders at any time when a prospectus relating thereto is required to be delivered under the Securities Act or of the Company’s discovery of the occurrence of any event as a result of which the prospectus included in such registration statement, as then in effect, includes an untrue statement of a material fact or omits to state a material fact required to be stated therein or necessary to make the statements therein not misleading or incomplete in the light of the circumstances then existing, and, subject to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at the request of a Holder, prepare as promptly as is reasonably practicable and furnish to such Holder a reasonable number of copies of a supplement to or an amendment of such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or incomplete in the light of the circumstances then existing;</w:t>
      </w:r>
    </w:p>
    <w:p>
      <w:pPr>
        <w:spacing w:after="0" w:line="185" w:lineRule="exact"/>
        <w:rPr>
          <w:rFonts w:ascii="Times New Roman" w:cs="Times New Roman" w:eastAsia="Times New Roman" w:hAnsi="Times New Roman"/>
          <w:sz w:val="21"/>
          <w:szCs w:val="21"/>
          <w:color w:val="auto"/>
        </w:rPr>
      </w:pPr>
    </w:p>
    <w:p>
      <w:pPr>
        <w:ind w:left="-20" w:right="240" w:firstLine="652"/>
        <w:spacing w:after="0" w:line="263" w:lineRule="auto"/>
        <w:tabs>
          <w:tab w:leader="none" w:pos="1265"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register and qualify (or exempt from registration) such other securities or “blue sky” laws of such jurisdictions within the United States as shall be reasonably requested in writing by the Holders;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Company shall not be required in connection therewith or as a condition thereto to (i) qualify to do business in any jurisdictions where it would not otherwise be required to qualify but for this subsection or (ii) take any action that would subject it to general service of process in any such jurisdictions;</w:t>
      </w:r>
    </w:p>
    <w:p>
      <w:pPr>
        <w:spacing w:after="0" w:line="181" w:lineRule="exact"/>
        <w:rPr>
          <w:rFonts w:ascii="Times New Roman" w:cs="Times New Roman" w:eastAsia="Times New Roman" w:hAnsi="Times New Roman"/>
          <w:sz w:val="21"/>
          <w:szCs w:val="21"/>
          <w:color w:val="auto"/>
        </w:rPr>
      </w:pPr>
    </w:p>
    <w:p>
      <w:pPr>
        <w:ind w:left="-20" w:right="640" w:firstLine="652"/>
        <w:spacing w:after="0" w:line="272" w:lineRule="auto"/>
        <w:tabs>
          <w:tab w:leader="none" w:pos="1265"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Registrable Securities are being offered in an underwritten public offering, enter into an underwriting agreement on customary terms (including with respect to the indemnification of such underwriters) and in accordance with the applicable provisions of this Agreement;</w:t>
      </w:r>
    </w:p>
    <w:p>
      <w:pPr>
        <w:spacing w:after="0" w:line="159" w:lineRule="exact"/>
        <w:rPr>
          <w:rFonts w:ascii="Times New Roman" w:cs="Times New Roman" w:eastAsia="Times New Roman" w:hAnsi="Times New Roman"/>
          <w:sz w:val="21"/>
          <w:szCs w:val="21"/>
          <w:color w:val="auto"/>
        </w:rPr>
      </w:pPr>
    </w:p>
    <w:p>
      <w:pPr>
        <w:ind w:left="-20" w:firstLine="652"/>
        <w:spacing w:after="0" w:line="266" w:lineRule="auto"/>
        <w:tabs>
          <w:tab w:leader="none" w:pos="1258"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commercially reasonable efforts to furnish (i) on the dates that such Registrable Securities are delivered to the underwriters for sale, if such securities are being sold through underwriters, (A) an opinion, dated as of such date, of the legal counsel representing the Company for the purposes of such registration, in form and substance as is customarily given to underwriters in an underwritten public offering, addressed to the underwriters, if any, (B) a “negative assurance letter”, dated as of such date, of the legal counsel representing the Company for the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00"/>
          </w:cols>
          <w:pgMar w:left="340" w:top="1415" w:right="359" w:bottom="1440" w:gutter="0" w:footer="0" w:header="0"/>
        </w:sectPr>
      </w:pPr>
    </w:p>
    <w:bookmarkStart w:id="182" w:name="page183"/>
    <w:bookmarkEnd w:id="182"/>
    <w:p>
      <w:pPr>
        <w:ind w:right="180"/>
        <w:spacing w:after="0" w:line="270" w:lineRule="auto"/>
        <w:rPr>
          <w:sz w:val="20"/>
          <w:szCs w:val="20"/>
          <w:color w:val="auto"/>
        </w:rPr>
      </w:pPr>
      <w:r>
        <w:rPr>
          <w:rFonts w:ascii="Times New Roman" w:cs="Times New Roman" w:eastAsia="Times New Roman" w:hAnsi="Times New Roman"/>
          <w:sz w:val="21"/>
          <w:szCs w:val="21"/>
          <w:color w:val="auto"/>
        </w:rPr>
        <w:t>such registration, in form and substance as is customarily given to underwriters in an underwritten public offering and (ii) on the date of the underwriting agreement and on the date(s) that such Registrable Securities are delivered for sale, a letter dated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63" w:lineRule="exact"/>
        <w:rPr>
          <w:sz w:val="20"/>
          <w:szCs w:val="20"/>
          <w:color w:val="auto"/>
        </w:rPr>
      </w:pPr>
    </w:p>
    <w:p>
      <w:pPr>
        <w:ind w:right="380" w:firstLine="652"/>
        <w:spacing w:after="0" w:line="291" w:lineRule="auto"/>
        <w:tabs>
          <w:tab w:leader="none" w:pos="1278"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list the Registrable Securities covered by such registration statement with any securities exchange on which the Common Shares are then listed;</w:t>
      </w:r>
    </w:p>
    <w:p>
      <w:pPr>
        <w:spacing w:after="0" w:line="139" w:lineRule="exact"/>
        <w:rPr>
          <w:rFonts w:ascii="Times New Roman" w:cs="Times New Roman" w:eastAsia="Times New Roman" w:hAnsi="Times New Roman"/>
          <w:sz w:val="21"/>
          <w:szCs w:val="21"/>
          <w:color w:val="auto"/>
        </w:rPr>
      </w:pPr>
    </w:p>
    <w:p>
      <w:pPr>
        <w:ind w:right="300" w:firstLine="652"/>
        <w:spacing w:after="0" w:line="291" w:lineRule="auto"/>
        <w:tabs>
          <w:tab w:leader="none" w:pos="1285"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a transfer agent and registrar (which may be the same entity) for all such Registrable Securities not later than the effective date of such registration statement;</w:t>
      </w:r>
    </w:p>
    <w:p>
      <w:pPr>
        <w:spacing w:after="0" w:line="153" w:lineRule="exact"/>
        <w:rPr>
          <w:rFonts w:ascii="Times New Roman" w:cs="Times New Roman" w:eastAsia="Times New Roman" w:hAnsi="Times New Roman"/>
          <w:sz w:val="21"/>
          <w:szCs w:val="21"/>
          <w:color w:val="auto"/>
        </w:rPr>
      </w:pPr>
    </w:p>
    <w:p>
      <w:pPr>
        <w:ind w:firstLine="652"/>
        <w:spacing w:after="0" w:line="257" w:lineRule="auto"/>
        <w:tabs>
          <w:tab w:leader="none" w:pos="1278"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 customary due diligence review, make available for inspection by the Holders, any underwriter participating in any such disposition of Registrable Securities, if any, and any counsel or accountants retained by the Holders or underwriter (collectively, the “</w:t>
      </w:r>
      <w:r>
        <w:rPr>
          <w:rFonts w:ascii="Times New Roman" w:cs="Times New Roman" w:eastAsia="Times New Roman" w:hAnsi="Times New Roman"/>
          <w:sz w:val="21"/>
          <w:szCs w:val="21"/>
          <w:u w:val="single" w:color="auto"/>
          <w:color w:val="auto"/>
        </w:rPr>
        <w:t>Offering Persons</w:t>
      </w:r>
      <w:r>
        <w:rPr>
          <w:rFonts w:ascii="Times New Roman" w:cs="Times New Roman" w:eastAsia="Times New Roman" w:hAnsi="Times New Roman"/>
          <w:sz w:val="21"/>
          <w:szCs w:val="21"/>
          <w:color w:val="auto"/>
        </w:rPr>
        <w:t>”), at the offices where normally kept, during reasonable business hours, all financial and other records, pertinent corporate documents and properties of the Company and its subsidiaries, and cause the officers, directors and employees of the Company and its subsidiaries to supply all information and participate in customary due diligence sessions in each case reasonably requested by any such representative, underwriter, counsel or accountant in connection with such registration statement (“</w:t>
      </w:r>
      <w:r>
        <w:rPr>
          <w:rFonts w:ascii="Times New Roman" w:cs="Times New Roman" w:eastAsia="Times New Roman" w:hAnsi="Times New Roman"/>
          <w:sz w:val="21"/>
          <w:szCs w:val="21"/>
          <w:u w:val="single" w:color="auto"/>
          <w:color w:val="auto"/>
        </w:rPr>
        <w:t>Requested Information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Requested Information that is not generally publicly available at the time of delivery of such information shall be kept confidential by such Offering Persons unless (i) disclosure of the Requested Information is required by court or administrative order or in connection with an audit or examination by, or a blanket document request from, a regulatory or self-regulatory authority, bank examiner or auditor, (ii) disclosure of such information is required by law or applicable legal process (including in connection with the offer and sale of securities pursuant to the rules and regulations of the SEC) in the opinion of counsel for the Offering Persons, (iii) disclosure of the Requested Information is ordered pursuant to a final, non-appealable subpoena or order from a court or government body of competent jurisdiction, (iv) the Requested Information is or becomes generally available to the public other than as a result of a non-permitted disclosure or failure to safeguard by such Offering Persons in violation of this Agreement or (v) the Requested Information (A) was known to such Offering Persons or their representatives (prior to its disclosure by the Company) from a source other than the Company when such source was not bound by any contractual, legal or fiduciary obligation of confidentiality to the Company with respect to such information, (B) becomes available to the Offering Persons from a source other than the Company when such source is not bound by any contractual, legal or fiduciary obligation of confidentiality to the Company with respect to such information or (C) was developed independently by the Offering Persons or their respective representatives without the use of, or reliance on, information provided by the Company. In the case of a proposed disclosure pursuant to clauses (i), (ii) or (iii) above, if permitted by applicable law or any applicable order of a court of government body, such Person shall be required to give the Company prompt written notice of the proposed disclosure prior to such disclosure (except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15" w:right="339" w:bottom="1440" w:gutter="0" w:footer="0" w:header="0"/>
        </w:sectPr>
      </w:pPr>
    </w:p>
    <w:bookmarkStart w:id="183" w:name="page184"/>
    <w:bookmarkEnd w:id="183"/>
    <w:p>
      <w:pPr>
        <w:ind w:right="360"/>
        <w:spacing w:after="0" w:line="266" w:lineRule="auto"/>
        <w:rPr>
          <w:sz w:val="20"/>
          <w:szCs w:val="20"/>
          <w:color w:val="auto"/>
        </w:rPr>
      </w:pPr>
      <w:r>
        <w:rPr>
          <w:rFonts w:ascii="Times New Roman" w:cs="Times New Roman" w:eastAsia="Times New Roman" w:hAnsi="Times New Roman"/>
          <w:sz w:val="21"/>
          <w:szCs w:val="21"/>
          <w:color w:val="auto"/>
        </w:rPr>
        <w:t>the case of clause (i) above when a proposed disclosure is in connection with a routine audit or examination by, or a blanket document request from, a regulatory or self-regulatory authority, bank examiner or auditor and except in the case of clause (ii) above when a proposed disclosure was or is to be made in connection with a registration statement or prospectus under this Agreement), to allow the Company, at the Company’s expense, to undertake appropriate action to prevent disclosure of, or to obtain a protective order for, the Requested Information deemed confidential;</w:t>
      </w:r>
    </w:p>
    <w:p>
      <w:pPr>
        <w:spacing w:after="0" w:line="167" w:lineRule="exact"/>
        <w:rPr>
          <w:sz w:val="20"/>
          <w:szCs w:val="20"/>
          <w:color w:val="auto"/>
        </w:rPr>
      </w:pPr>
    </w:p>
    <w:p>
      <w:pPr>
        <w:ind w:right="140" w:firstLine="652"/>
        <w:spacing w:after="0" w:line="270" w:lineRule="auto"/>
        <w:tabs>
          <w:tab w:leader="none" w:pos="1278"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cooperate with the Holders and each underwriter or agent participating in the disposition of Registrable Securities and their respective counsel in connection with any filings required to be made with FINRA, including the use of commercially reasonable efforts to obtain FINRA’s pre-clearance or pre-approval of the registration statement and applicable prospectus upon filing with the SEC; and</w:t>
      </w:r>
    </w:p>
    <w:p>
      <w:pPr>
        <w:spacing w:after="0" w:line="162" w:lineRule="exact"/>
        <w:rPr>
          <w:rFonts w:ascii="Times New Roman" w:cs="Times New Roman" w:eastAsia="Times New Roman" w:hAnsi="Times New Roman"/>
          <w:sz w:val="21"/>
          <w:szCs w:val="21"/>
          <w:color w:val="auto"/>
        </w:rPr>
      </w:pPr>
    </w:p>
    <w:p>
      <w:pPr>
        <w:ind w:right="100" w:firstLine="652"/>
        <w:spacing w:after="0" w:line="261" w:lineRule="auto"/>
        <w:tabs>
          <w:tab w:leader="none" w:pos="1285"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promptly as is reasonably practicable notify the Holders (i) when the prospectus or any prospectus supplement or post-effective amendment has been filed and, with respect to such registration statement or any post-effective amendment, when the same has become effective, (ii) of any request by the SEC or other federal or state governmental authority for amendments or supplements to such registration statement or related prospectus or to amend or to supplement such prospectus or for additional information, (iii) of the issuance by the SEC of any stop order suspending the effectiveness of such registration statement or the initiation of any proceedings for such purpose, or (iv) of the receipt by the Company of any notification with respect to the suspension of the qualification or exemption from qualification of any of the Registrable Securities for sale in any jurisdiction, or the initiation or threatening of any proceeding for such purpose.</w:t>
      </w:r>
    </w:p>
    <w:p>
      <w:pPr>
        <w:spacing w:after="0" w:line="170" w:lineRule="exact"/>
        <w:rPr>
          <w:sz w:val="20"/>
          <w:szCs w:val="20"/>
          <w:color w:val="auto"/>
        </w:rPr>
      </w:pPr>
    </w:p>
    <w:p>
      <w:pPr>
        <w:ind w:firstLine="645"/>
        <w:spacing w:after="0" w:line="259" w:lineRule="auto"/>
        <w:rPr>
          <w:sz w:val="20"/>
          <w:szCs w:val="20"/>
          <w:color w:val="auto"/>
        </w:rPr>
      </w:pPr>
      <w:r>
        <w:rPr>
          <w:rFonts w:ascii="Times New Roman" w:cs="Times New Roman" w:eastAsia="Times New Roman" w:hAnsi="Times New Roman"/>
          <w:sz w:val="21"/>
          <w:szCs w:val="21"/>
          <w:color w:val="auto"/>
        </w:rPr>
        <w:t xml:space="preserve">Each Holder agrees that, upon receipt of any notice from the Company of the happening of any event of the kind described in </w:t>
      </w:r>
      <w:r>
        <w:rPr>
          <w:rFonts w:ascii="Times New Roman" w:cs="Times New Roman" w:eastAsia="Times New Roman" w:hAnsi="Times New Roman"/>
          <w:sz w:val="21"/>
          <w:szCs w:val="21"/>
          <w:u w:val="single" w:color="auto"/>
          <w:color w:val="auto"/>
        </w:rPr>
        <w:t>Sections 2.1(f)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2.1(n)(ii)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2.1(n)(iii)</w:t>
      </w:r>
      <w:r>
        <w:rPr>
          <w:rFonts w:ascii="Times New Roman" w:cs="Times New Roman" w:eastAsia="Times New Roman" w:hAnsi="Times New Roman"/>
          <w:sz w:val="21"/>
          <w:szCs w:val="21"/>
          <w:color w:val="auto"/>
        </w:rPr>
        <w:t xml:space="preserve">, such Holder shall discontinue disposition of any Registrable Securities covered by such registration statement or the related prospectus until receipt of the copies of the supplemented or amended prospectus, which supplement or amendment shall, subject to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be prepared and furnished as soon as reasonably practicable, or until such Holder is advised in writing by the Company that the use of the applicable prospectus may be resumed, and have received copies of any amended or supplemented prospectus or any additional or supplemental filings which are incorporated, or deemed to be incorporated, by reference in such prospectus (such period during which disposition is discontinued being an “</w:t>
      </w:r>
      <w:r>
        <w:rPr>
          <w:rFonts w:ascii="Times New Roman" w:cs="Times New Roman" w:eastAsia="Times New Roman" w:hAnsi="Times New Roman"/>
          <w:sz w:val="21"/>
          <w:szCs w:val="21"/>
          <w:u w:val="single" w:color="auto"/>
          <w:color w:val="auto"/>
        </w:rPr>
        <w:t>Interruption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Period</w:t>
      </w:r>
      <w:r>
        <w:rPr>
          <w:rFonts w:ascii="Times New Roman" w:cs="Times New Roman" w:eastAsia="Times New Roman" w:hAnsi="Times New Roman"/>
          <w:sz w:val="21"/>
          <w:szCs w:val="21"/>
          <w:color w:val="auto"/>
        </w:rPr>
        <w:t>”) and, if requested by the Company in writing, such Holder shall use commercially reasonable efforts to return to the Company all copies then in their possession, of the prospectus covering such Registrable Securities at the time of receipt of such request. As soon as is reasonably practicable after the Company has determined that the use of the applicable prospectus may be resumed, the Company will promptly notify the Holders thereof. In the event the Company invokes an Interruption Period hereunder and in the reasonable discretion of the Company the need for the Company to continue the Interruption Period ceases for any reason, the Company shall provide written notice, as soon as is reasonably practicable, to the Holders that such Interruption Period is no longer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20"/>
          </w:cols>
          <w:pgMar w:left="320" w:top="1415" w:right="359" w:bottom="1440" w:gutter="0" w:footer="0" w:header="0"/>
        </w:sectPr>
      </w:pPr>
    </w:p>
    <w:bookmarkStart w:id="184" w:name="page185"/>
    <w:bookmarkEnd w:id="184"/>
    <w:p>
      <w:pPr>
        <w:ind w:firstLine="645"/>
        <w:spacing w:after="0" w:line="260" w:lineRule="auto"/>
        <w:rPr>
          <w:sz w:val="20"/>
          <w:szCs w:val="20"/>
          <w:color w:val="auto"/>
        </w:rPr>
      </w:pPr>
      <w:r>
        <w:rPr>
          <w:rFonts w:ascii="Times New Roman" w:cs="Times New Roman" w:eastAsia="Times New Roman" w:hAnsi="Times New Roman"/>
          <w:sz w:val="21"/>
          <w:szCs w:val="21"/>
          <w:color w:val="auto"/>
        </w:rPr>
        <w:t xml:space="preserve">Section 2.2 </w:t>
      </w:r>
      <w:r>
        <w:rPr>
          <w:rFonts w:ascii="Times New Roman" w:cs="Times New Roman" w:eastAsia="Times New Roman" w:hAnsi="Times New Roman"/>
          <w:sz w:val="21"/>
          <w:szCs w:val="21"/>
          <w:u w:val="single" w:color="auto"/>
          <w:color w:val="auto"/>
        </w:rPr>
        <w:t>Suspension</w:t>
      </w:r>
      <w:r>
        <w:rPr>
          <w:rFonts w:ascii="Times New Roman" w:cs="Times New Roman" w:eastAsia="Times New Roman" w:hAnsi="Times New Roman"/>
          <w:sz w:val="21"/>
          <w:szCs w:val="21"/>
          <w:color w:val="auto"/>
        </w:rPr>
        <w:t>. (a) The Company shall be entitled, for a period of time not to exceed forty-five (45) calendar days in any three-month period, or an aggregate of ninety (90) calendar days in any twelve-month period, to (x) defer any registration of Registrable Securities and shall have the right not to file and not to cause the effectiveness of any registration statement covering any Registrable Securities, (y) suspend the use of any prospectus and registration statement covering any Registrable Securities, and (z) require the Holders of Registrable Securities to suspend any offerings or sales of Registrable Securities pursuant to a registration statement, if the Company delivers to the Holders a certificate signed by an executive officer certifying that such registration and offering would (i) require the Company to make an Adverse Disclosure or (ii) materially interfere with any bona fide material financing, acquisition, disposition or other similar material transaction involving the Company or any of its subsidiaries then under consideration, and specifying in reasonable detail the nature of the event giving rise to such suspension. Each Holder shall keep confidential any communications received by it from the Company regarding the suspension, except as required by applicable law.</w:t>
      </w:r>
    </w:p>
    <w:p>
      <w:pPr>
        <w:spacing w:after="0" w:line="200" w:lineRule="exact"/>
        <w:rPr>
          <w:sz w:val="20"/>
          <w:szCs w:val="20"/>
          <w:color w:val="auto"/>
        </w:rPr>
      </w:pPr>
    </w:p>
    <w:p>
      <w:pPr>
        <w:spacing w:after="0" w:line="234" w:lineRule="exact"/>
        <w:rPr>
          <w:sz w:val="20"/>
          <w:szCs w:val="20"/>
          <w:color w:val="auto"/>
        </w:rPr>
      </w:pPr>
    </w:p>
    <w:p>
      <w:pPr>
        <w:ind w:right="40" w:firstLine="645"/>
        <w:spacing w:after="0" w:line="270" w:lineRule="auto"/>
        <w:rPr>
          <w:sz w:val="20"/>
          <w:szCs w:val="20"/>
          <w:color w:val="auto"/>
        </w:rPr>
      </w:pPr>
      <w:r>
        <w:rPr>
          <w:rFonts w:ascii="Times New Roman" w:cs="Times New Roman" w:eastAsia="Times New Roman" w:hAnsi="Times New Roman"/>
          <w:sz w:val="21"/>
          <w:szCs w:val="21"/>
          <w:color w:val="auto"/>
        </w:rPr>
        <w:t xml:space="preserve">Section 2.3 </w:t>
      </w:r>
      <w:r>
        <w:rPr>
          <w:rFonts w:ascii="Times New Roman" w:cs="Times New Roman" w:eastAsia="Times New Roman" w:hAnsi="Times New Roman"/>
          <w:sz w:val="21"/>
          <w:szCs w:val="21"/>
          <w:u w:val="single" w:color="auto"/>
          <w:color w:val="auto"/>
        </w:rPr>
        <w:t>Expenses of Registration</w:t>
      </w:r>
      <w:r>
        <w:rPr>
          <w:rFonts w:ascii="Times New Roman" w:cs="Times New Roman" w:eastAsia="Times New Roman" w:hAnsi="Times New Roman"/>
          <w:sz w:val="21"/>
          <w:szCs w:val="21"/>
          <w:color w:val="auto"/>
        </w:rPr>
        <w:t>. All Registration Expenses incurred in connection with any registration shall be borne by the Company, provided that each Holder of Registrable Securities participating in an offering shall pay all applicable underwriting discounts and commissions, brokers’ commissions and stock transfer taxes, if any, on the Registrable Securities sold by such Holder and fees and expenses of Holder’s counsel.</w:t>
      </w:r>
    </w:p>
    <w:p>
      <w:pPr>
        <w:spacing w:after="0" w:line="163" w:lineRule="exact"/>
        <w:rPr>
          <w:sz w:val="20"/>
          <w:szCs w:val="20"/>
          <w:color w:val="auto"/>
        </w:rPr>
      </w:pPr>
    </w:p>
    <w:p>
      <w:pPr>
        <w:ind w:right="40" w:firstLine="645"/>
        <w:spacing w:after="0" w:line="262" w:lineRule="auto"/>
        <w:rPr>
          <w:sz w:val="20"/>
          <w:szCs w:val="20"/>
          <w:color w:val="auto"/>
        </w:rPr>
      </w:pPr>
      <w:r>
        <w:rPr>
          <w:rFonts w:ascii="Times New Roman" w:cs="Times New Roman" w:eastAsia="Times New Roman" w:hAnsi="Times New Roman"/>
          <w:sz w:val="21"/>
          <w:szCs w:val="21"/>
          <w:color w:val="auto"/>
        </w:rPr>
        <w:t xml:space="preserve">Section 2.4 </w:t>
      </w:r>
      <w:r>
        <w:rPr>
          <w:rFonts w:ascii="Times New Roman" w:cs="Times New Roman" w:eastAsia="Times New Roman" w:hAnsi="Times New Roman"/>
          <w:sz w:val="21"/>
          <w:szCs w:val="21"/>
          <w:u w:val="single" w:color="auto"/>
          <w:color w:val="auto"/>
        </w:rPr>
        <w:t>Information by Holders</w:t>
      </w:r>
      <w:r>
        <w:rPr>
          <w:rFonts w:ascii="Times New Roman" w:cs="Times New Roman" w:eastAsia="Times New Roman" w:hAnsi="Times New Roman"/>
          <w:sz w:val="21"/>
          <w:szCs w:val="21"/>
          <w:color w:val="auto"/>
        </w:rPr>
        <w:t>. The Holder or Holders of Registrable Securities included in any registration shall furnish to the Company such information regarding such Holder or Holders and their Affiliates, the Registrable Securities held by them and the distribution proposed by such Holder or Holders and their Affiliates as the Company may reasonably request and as shall be required by applicable law in connection with any registration, qualification or compliance referred to in this Agreement. It is understood and agreed that the obligations of the Company under Article I are conditioned on the timely provisions of the foregoing information by such Holder or Holders and, without limitation of the foregoing, will be conditioned on compliance by such Holder or Holders with the following:</w:t>
      </w:r>
    </w:p>
    <w:p>
      <w:pPr>
        <w:spacing w:after="0" w:line="170" w:lineRule="exact"/>
        <w:rPr>
          <w:sz w:val="20"/>
          <w:szCs w:val="20"/>
          <w:color w:val="auto"/>
        </w:rPr>
      </w:pPr>
    </w:p>
    <w:p>
      <w:pPr>
        <w:ind w:right="40" w:firstLine="652"/>
        <w:spacing w:after="0" w:line="261" w:lineRule="auto"/>
        <w:tabs>
          <w:tab w:leader="none" w:pos="1287"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Holder or Holders will, and will cause their respective Affiliates to, cooperate with the Company in connection with the preparation of the applicable registration statement and prospectus and, for so long as the Company is obligated to keep such registration statement effective, such Holder or Holders will and will cause their respective Affiliates to, provide to the Company, in writing and in a timely manner, for use in such registration statement (and expressly identified in writing as such), all information regarding themselves and their respective Affiliates as the Company may reasonably request and as shall be required by applicable law to enable the Company to prepare or amend such registration statement, any related prospectus and any other documents related to such offering covering the applicable Registrable Securities owned by such Holder or Holders and to maintain the currency and effectiveness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20"/>
          </w:cols>
          <w:pgMar w:left="320" w:top="1415" w:right="359" w:bottom="1440" w:gutter="0" w:footer="0" w:header="0"/>
        </w:sectPr>
      </w:pPr>
    </w:p>
    <w:bookmarkStart w:id="185" w:name="page186"/>
    <w:bookmarkEnd w:id="185"/>
    <w:p>
      <w:pPr>
        <w:ind w:firstLine="652"/>
        <w:spacing w:after="0" w:line="261" w:lineRule="auto"/>
        <w:tabs>
          <w:tab w:leader="none" w:pos="1285"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such time as such Holder or Holders and their respective Affiliates may be engaged in a distribution of the Registrable Securities, such Holder or Holders will, and they will cause their Affiliates to, comply with all laws applicable to such distribution, including Regulation M promulgated under the Exchange Act, and, to the extent required by such laws, will, and will cause their Affiliates to, among other things (i) not engage in any stabilization activity in connection with the securities of the Company in contravention of such laws; (ii) distribute the Registrable Securities acquired by them solely in the manner described in the applicable registration statement and (iii) if required by applicable law, cause to be furnished to each agent or broker-dealer to or through whom such Registrable Securities may be offered, or to the offeree if an offer is made directly by such Holder or Holders or their respective Affiliates, such copies of the applicable prospectus (as amended and supplemented to such date) and documents incorporated by reference therein as may be required by such agent, broker-dealer or offeree; and</w:t>
      </w:r>
    </w:p>
    <w:p>
      <w:pPr>
        <w:spacing w:after="0" w:line="176" w:lineRule="exact"/>
        <w:rPr>
          <w:rFonts w:ascii="Times New Roman" w:cs="Times New Roman" w:eastAsia="Times New Roman" w:hAnsi="Times New Roman"/>
          <w:sz w:val="21"/>
          <w:szCs w:val="21"/>
          <w:color w:val="auto"/>
        </w:rPr>
      </w:pPr>
    </w:p>
    <w:p>
      <w:pPr>
        <w:ind w:right="120" w:firstLine="652"/>
        <w:spacing w:after="0" w:line="263" w:lineRule="auto"/>
        <w:tabs>
          <w:tab w:leader="none" w:pos="1287"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Holder or Holders shall, and they shall cause their respective Affiliates to, (i) permit the Company and its representatives to examine such documents and records and will supply in a timely manner any information as they may be reasonably requested to provide in connection with the offering or other distribution of Registrable Securities by such Holder or Holders and (ii) execute, deliver and perform under any agreements and instruments reasonably requested by the Company or its representatives to effectuate such registered offering, including opinions of counsel and questionnaires.</w:t>
      </w:r>
    </w:p>
    <w:p>
      <w:pPr>
        <w:spacing w:after="0" w:line="182" w:lineRule="exact"/>
        <w:rPr>
          <w:sz w:val="20"/>
          <w:szCs w:val="20"/>
          <w:color w:val="auto"/>
        </w:rPr>
      </w:pPr>
    </w:p>
    <w:p>
      <w:pPr>
        <w:ind w:right="120" w:firstLine="645"/>
        <w:spacing w:after="0" w:line="291" w:lineRule="auto"/>
        <w:rPr>
          <w:sz w:val="20"/>
          <w:szCs w:val="20"/>
          <w:color w:val="auto"/>
        </w:rPr>
      </w:pPr>
      <w:r>
        <w:rPr>
          <w:rFonts w:ascii="Times New Roman" w:cs="Times New Roman" w:eastAsia="Times New Roman" w:hAnsi="Times New Roman"/>
          <w:sz w:val="21"/>
          <w:szCs w:val="21"/>
          <w:color w:val="auto"/>
        </w:rPr>
        <w:t xml:space="preserve">Section 2.5 </w:t>
      </w:r>
      <w:r>
        <w:rPr>
          <w:rFonts w:ascii="Times New Roman" w:cs="Times New Roman" w:eastAsia="Times New Roman" w:hAnsi="Times New Roman"/>
          <w:sz w:val="21"/>
          <w:szCs w:val="21"/>
          <w:u w:val="single" w:color="auto"/>
          <w:color w:val="auto"/>
        </w:rPr>
        <w:t>Rule 144 Reporting</w:t>
      </w:r>
      <w:r>
        <w:rPr>
          <w:rFonts w:ascii="Times New Roman" w:cs="Times New Roman" w:eastAsia="Times New Roman" w:hAnsi="Times New Roman"/>
          <w:sz w:val="21"/>
          <w:szCs w:val="21"/>
          <w:color w:val="auto"/>
        </w:rPr>
        <w:t>. With a view to making available the benefits of Rule 144 to the Holders, the Company agrees that, for so long as a Holder owns Registrable Securities, the Company will:</w:t>
      </w:r>
    </w:p>
    <w:p>
      <w:pPr>
        <w:spacing w:after="0" w:line="140" w:lineRule="exact"/>
        <w:rPr>
          <w:sz w:val="20"/>
          <w:szCs w:val="20"/>
          <w:color w:val="auto"/>
        </w:rPr>
      </w:pPr>
    </w:p>
    <w:p>
      <w:pPr>
        <w:ind w:right="300" w:firstLine="652"/>
        <w:spacing w:after="0" w:line="291" w:lineRule="auto"/>
        <w:tabs>
          <w:tab w:leader="none" w:pos="1287"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and keep public information available, as those terms are understood and defined in Rule 144, at all times after the date of this Agreement as is necessary to permit sales pursuant to Rule 144; and</w:t>
      </w:r>
    </w:p>
    <w:p>
      <w:pPr>
        <w:spacing w:after="0" w:line="139" w:lineRule="exact"/>
        <w:rPr>
          <w:rFonts w:ascii="Times New Roman" w:cs="Times New Roman" w:eastAsia="Times New Roman" w:hAnsi="Times New Roman"/>
          <w:sz w:val="21"/>
          <w:szCs w:val="21"/>
          <w:color w:val="auto"/>
        </w:rPr>
      </w:pPr>
    </w:p>
    <w:p>
      <w:pPr>
        <w:ind w:right="20" w:firstLine="652"/>
        <w:spacing w:after="0" w:line="304" w:lineRule="auto"/>
        <w:tabs>
          <w:tab w:leader="none" w:pos="1285"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a Holder owns any Registrable Securities, furnish to the Holder upon written request a written statement by the Company as to its compliance with the reporting requirements of the Exchange Act.</w:t>
      </w:r>
    </w:p>
    <w:p>
      <w:pPr>
        <w:spacing w:after="0" w:line="127" w:lineRule="exact"/>
        <w:rPr>
          <w:sz w:val="20"/>
          <w:szCs w:val="20"/>
          <w:color w:val="auto"/>
        </w:rPr>
      </w:pPr>
    </w:p>
    <w:p>
      <w:pPr>
        <w:ind w:right="100" w:firstLine="645"/>
        <w:spacing w:after="0" w:line="272" w:lineRule="auto"/>
        <w:rPr>
          <w:sz w:val="20"/>
          <w:szCs w:val="20"/>
          <w:color w:val="auto"/>
        </w:rPr>
      </w:pPr>
      <w:r>
        <w:rPr>
          <w:rFonts w:ascii="Times New Roman" w:cs="Times New Roman" w:eastAsia="Times New Roman" w:hAnsi="Times New Roman"/>
          <w:sz w:val="21"/>
          <w:szCs w:val="21"/>
          <w:color w:val="auto"/>
        </w:rPr>
        <w:t xml:space="preserve">Section 2.6 </w:t>
      </w:r>
      <w:r>
        <w:rPr>
          <w:rFonts w:ascii="Times New Roman" w:cs="Times New Roman" w:eastAsia="Times New Roman" w:hAnsi="Times New Roman"/>
          <w:sz w:val="21"/>
          <w:szCs w:val="21"/>
          <w:u w:val="single" w:color="auto"/>
          <w:color w:val="auto"/>
        </w:rPr>
        <w:t>In-Kind Distributions</w:t>
      </w:r>
      <w:r>
        <w:rPr>
          <w:rFonts w:ascii="Times New Roman" w:cs="Times New Roman" w:eastAsia="Times New Roman" w:hAnsi="Times New Roman"/>
          <w:sz w:val="21"/>
          <w:szCs w:val="21"/>
          <w:color w:val="auto"/>
        </w:rPr>
        <w:t>. If the Investor (and/or any of its Affiliates) seeks to effectuate an in-kind distribution of all or part of their Registrable Securities to their respective direct or indirect equityholders, the Company will work with the foregoing Persons to facilitate such in-kind distribution in the manner reasonably requested.</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ARTICLE III</w:t>
      </w: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u w:val="single" w:color="auto"/>
          <w:color w:val="auto"/>
        </w:rPr>
        <w:t>Indemnification</w:t>
      </w:r>
    </w:p>
    <w:p>
      <w:pPr>
        <w:spacing w:after="0" w:line="229" w:lineRule="exact"/>
        <w:rPr>
          <w:sz w:val="20"/>
          <w:szCs w:val="20"/>
          <w:color w:val="auto"/>
        </w:rPr>
      </w:pPr>
    </w:p>
    <w:p>
      <w:pPr>
        <w:ind w:right="60" w:firstLine="645"/>
        <w:spacing w:after="0" w:line="263" w:lineRule="auto"/>
        <w:rPr>
          <w:sz w:val="20"/>
          <w:szCs w:val="20"/>
          <w:color w:val="auto"/>
        </w:rPr>
      </w:pPr>
      <w:r>
        <w:rPr>
          <w:rFonts w:ascii="Times New Roman" w:cs="Times New Roman" w:eastAsia="Times New Roman" w:hAnsi="Times New Roman"/>
          <w:sz w:val="21"/>
          <w:szCs w:val="21"/>
          <w:color w:val="auto"/>
        </w:rPr>
        <w:t xml:space="preserve">Section 3.1 </w:t>
      </w:r>
      <w:r>
        <w:rPr>
          <w:rFonts w:ascii="Times New Roman" w:cs="Times New Roman" w:eastAsia="Times New Roman" w:hAnsi="Times New Roman"/>
          <w:sz w:val="21"/>
          <w:szCs w:val="21"/>
          <w:u w:val="single" w:color="auto"/>
          <w:color w:val="auto"/>
        </w:rPr>
        <w:t>Indemnification by Company</w:t>
      </w:r>
      <w:r>
        <w:rPr>
          <w:rFonts w:ascii="Times New Roman" w:cs="Times New Roman" w:eastAsia="Times New Roman" w:hAnsi="Times New Roman"/>
          <w:sz w:val="21"/>
          <w:szCs w:val="21"/>
          <w:color w:val="auto"/>
        </w:rPr>
        <w:t>. To the fullest extent permitted by applicable law, the Company will, with respect to any Registrable Securities covered by a registration statement or prospectus (including a prospectus supplement), or as to which registration, qualification or compliance under applicable “blue sky” laws has been effected pursuant to this Agreement, indemnify and hold harmless each Holder, each Holder’s current and former officers, directors, partners, members, managers, shareholders,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00"/>
          </w:cols>
          <w:pgMar w:left="320" w:top="1415" w:right="379" w:bottom="1440" w:gutter="0" w:footer="0" w:header="0"/>
        </w:sectPr>
      </w:pPr>
    </w:p>
    <w:bookmarkStart w:id="186" w:name="page187"/>
    <w:bookmarkEnd w:id="186"/>
    <w:p>
      <w:pPr>
        <w:ind w:right="20"/>
        <w:spacing w:after="0" w:line="257" w:lineRule="auto"/>
        <w:rPr>
          <w:sz w:val="20"/>
          <w:szCs w:val="20"/>
          <w:color w:val="auto"/>
        </w:rPr>
      </w:pPr>
      <w:r>
        <w:rPr>
          <w:rFonts w:ascii="Times New Roman" w:cs="Times New Roman" w:eastAsia="Times New Roman" w:hAnsi="Times New Roman"/>
          <w:sz w:val="21"/>
          <w:szCs w:val="21"/>
          <w:color w:val="auto"/>
        </w:rPr>
        <w:t>attorneys, agents and employees, and each Person controlling such Holder within the meaning of Section 15 of the Securities Act and such Holder’s current and former officers, directors, partners, members, managers, shareholders, accountants, attorneys, agents and employees, and each underwriter thereof, if any, and each Person who controls any such underwriter within the meaning of Section 15 of the Securities Act (collectively, the “</w:t>
      </w:r>
      <w:r>
        <w:rPr>
          <w:rFonts w:ascii="Times New Roman" w:cs="Times New Roman" w:eastAsia="Times New Roman" w:hAnsi="Times New Roman"/>
          <w:sz w:val="21"/>
          <w:szCs w:val="21"/>
          <w:u w:val="single" w:color="auto"/>
          <w:color w:val="auto"/>
        </w:rPr>
        <w:t>Company Indemnified Parties</w:t>
      </w:r>
      <w:r>
        <w:rPr>
          <w:rFonts w:ascii="Times New Roman" w:cs="Times New Roman" w:eastAsia="Times New Roman" w:hAnsi="Times New Roman"/>
          <w:sz w:val="21"/>
          <w:szCs w:val="21"/>
          <w:color w:val="auto"/>
        </w:rPr>
        <w:t>”), from and against any and all expenses, claims, losses, damages, costs (including costs of preparation and reasonable attorney’s fees and any legal or other fees or expenses actually incurred by such party in connection with any investigation or proceeding), judgments, fines, penalties, charges, amounts paid in settlement and other liabilities, joint or several, (or actions in respect thereof) (collectively, “</w:t>
      </w:r>
      <w:r>
        <w:rPr>
          <w:rFonts w:ascii="Times New Roman" w:cs="Times New Roman" w:eastAsia="Times New Roman" w:hAnsi="Times New Roman"/>
          <w:sz w:val="21"/>
          <w:szCs w:val="21"/>
          <w:u w:val="single" w:color="auto"/>
          <w:color w:val="auto"/>
        </w:rPr>
        <w:t>Losses</w:t>
      </w:r>
      <w:r>
        <w:rPr>
          <w:rFonts w:ascii="Times New Roman" w:cs="Times New Roman" w:eastAsia="Times New Roman" w:hAnsi="Times New Roman"/>
          <w:sz w:val="21"/>
          <w:szCs w:val="21"/>
          <w:color w:val="auto"/>
        </w:rPr>
        <w:t xml:space="preserve">”) to the extent arising out of or based on any untrue statement (or alleged untrue statement) of a material fact contained in any registration statement, prospectus (or prospectus supplement), preliminary prospectus (or prospectus supplement), offering circular, Issuer Free Writing Prospectus, “road show” presentation or other document, in each case related to such registration statement, or any amendment or supplement thereto, or based on any omission (or alleged omission) to state therein a material fact required to be stated therein or necessary to make the statements therein, in light of the circumstances in which they were made, not misleading, the Company will reimburse each of the Company Indemnified Parties for any reasonable and documented out-of-pocket legal expenses and any other reasonable and documented out-of-pocket expenses actually incurred in connection with investigating, defending or, subject to the last sentence of this </w:t>
      </w:r>
      <w:r>
        <w:rPr>
          <w:rFonts w:ascii="Times New Roman" w:cs="Times New Roman" w:eastAsia="Times New Roman" w:hAnsi="Times New Roman"/>
          <w:sz w:val="21"/>
          <w:szCs w:val="21"/>
          <w:u w:val="single" w:color="auto"/>
          <w:color w:val="auto"/>
        </w:rPr>
        <w:t>Section 3.1</w:t>
      </w:r>
      <w:r>
        <w:rPr>
          <w:rFonts w:ascii="Times New Roman" w:cs="Times New Roman" w:eastAsia="Times New Roman" w:hAnsi="Times New Roman"/>
          <w:sz w:val="21"/>
          <w:szCs w:val="21"/>
          <w:color w:val="auto"/>
        </w:rPr>
        <w:t xml:space="preserve">, settling any such Losses or 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Company’s indemnification obligations shall not apply to amounts paid in settlement of any Losses or action if such settlement is effected without the prior written consent of the Company (which consent shall not be unreasonably withheld or delayed), nor shall the Company be liable to a Holder in any such case for any such Losses or action to the extent that (a) it arises out of or is based upon a violation or alleged violation of any state or federal law (including any claim arising out of or based on any untrue statement or alleged untrue statement or omission or alleged omission in the registration statement or prospectus) which occurs in reliance upon and in conformity with written information regarding such Holder furnished to the Company by such Holder expressly for use in connection with such registration by any such Holder, or (b) in the case of a sale directly by a Holder of Registrable Securities (including a sale of such Registrable Securities through any underwriter retained by such Holder engaging in a distribution solely on behalf of such Holder), such untrue statement or alleged untrue statement or omission or alleged omission was corrected in a final or amended prospectus, and such Holder failed to deliver a copy of the final or amended prospectus at or prior to the confirmation of the sale of the Registrable Securities to the Person asserting any such loss, claim, damage or liability in any case in which such delivery is required by the Securities Act.</w:t>
      </w:r>
    </w:p>
    <w:p>
      <w:pPr>
        <w:spacing w:after="0" w:line="200" w:lineRule="exact"/>
        <w:rPr>
          <w:sz w:val="20"/>
          <w:szCs w:val="20"/>
          <w:color w:val="auto"/>
        </w:rPr>
      </w:pPr>
    </w:p>
    <w:p>
      <w:pPr>
        <w:spacing w:after="0" w:line="252" w:lineRule="exact"/>
        <w:rPr>
          <w:sz w:val="20"/>
          <w:szCs w:val="20"/>
          <w:color w:val="auto"/>
        </w:rPr>
      </w:pPr>
    </w:p>
    <w:p>
      <w:pPr>
        <w:ind w:firstLine="645"/>
        <w:spacing w:after="0" w:line="262" w:lineRule="auto"/>
        <w:rPr>
          <w:sz w:val="20"/>
          <w:szCs w:val="20"/>
          <w:color w:val="auto"/>
        </w:rPr>
      </w:pPr>
      <w:r>
        <w:rPr>
          <w:rFonts w:ascii="Times New Roman" w:cs="Times New Roman" w:eastAsia="Times New Roman" w:hAnsi="Times New Roman"/>
          <w:sz w:val="21"/>
          <w:szCs w:val="21"/>
          <w:color w:val="auto"/>
        </w:rPr>
        <w:t xml:space="preserve">Section 3.2 </w:t>
      </w:r>
      <w:r>
        <w:rPr>
          <w:rFonts w:ascii="Times New Roman" w:cs="Times New Roman" w:eastAsia="Times New Roman" w:hAnsi="Times New Roman"/>
          <w:sz w:val="21"/>
          <w:szCs w:val="21"/>
          <w:u w:val="single" w:color="auto"/>
          <w:color w:val="auto"/>
        </w:rPr>
        <w:t>Indemnification by Holders</w:t>
      </w:r>
      <w:r>
        <w:rPr>
          <w:rFonts w:ascii="Times New Roman" w:cs="Times New Roman" w:eastAsia="Times New Roman" w:hAnsi="Times New Roman"/>
          <w:sz w:val="21"/>
          <w:szCs w:val="21"/>
          <w:color w:val="auto"/>
        </w:rPr>
        <w:t>. To the fullest extent permitted by applicable law, each Holder will, if Registrable Securities held by such Holder are included in the securities as to which registration or qualification or compliance under applicable “blue sky” laws has been effected pursuant to this Agreement, indemnify and hold harmless, severally and not jointly with any other Holders of Registrable Securities, the Company, each of its current and former officers, directors, partners, members, managers, shareholders, accountants, attorneys, agents and employees, each underwriter, if any of the Company’s securities covered by such a registration, each Person controlling the Company or such underwriter within the meaning of Section 15 of the Securities Act (collectively, the “</w:t>
      </w:r>
      <w:r>
        <w:rPr>
          <w:rFonts w:ascii="Times New Roman" w:cs="Times New Roman" w:eastAsia="Times New Roman" w:hAnsi="Times New Roman"/>
          <w:sz w:val="21"/>
          <w:szCs w:val="21"/>
          <w:u w:val="single" w:color="auto"/>
          <w:color w:val="auto"/>
        </w:rPr>
        <w:t>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180"/>
          </w:cols>
          <w:pgMar w:left="320" w:top="1415" w:right="399" w:bottom="1440" w:gutter="0" w:footer="0" w:header="0"/>
        </w:sectPr>
      </w:pPr>
    </w:p>
    <w:bookmarkStart w:id="187" w:name="page188"/>
    <w:bookmarkEnd w:id="187"/>
    <w:p>
      <w:pPr>
        <w:spacing w:after="0" w:line="258" w:lineRule="auto"/>
        <w:rPr>
          <w:sz w:val="20"/>
          <w:szCs w:val="20"/>
          <w:color w:val="auto"/>
        </w:rPr>
      </w:pPr>
      <w:r>
        <w:rPr>
          <w:rFonts w:ascii="Times New Roman" w:cs="Times New Roman" w:eastAsia="Times New Roman" w:hAnsi="Times New Roman"/>
          <w:sz w:val="21"/>
          <w:szCs w:val="21"/>
          <w:u w:val="single" w:color="auto"/>
          <w:color w:val="auto"/>
        </w:rPr>
        <w:t>Indemnified Parties</w:t>
      </w:r>
      <w:r>
        <w:rPr>
          <w:rFonts w:ascii="Times New Roman" w:cs="Times New Roman" w:eastAsia="Times New Roman" w:hAnsi="Times New Roman"/>
          <w:sz w:val="21"/>
          <w:szCs w:val="21"/>
          <w:color w:val="auto"/>
        </w:rPr>
        <w:t xml:space="preserve">”), from and against all Losses (or actions in respect thereof) to the extent arising out of or based on any untrue statement (or alleged untrue statement) of a material fact contained in any registration statement, prospectus, preliminary prospectus, offering circular, Issuer Free Writing Prospectus or other document, in each case related to such registration statement, or any amendment or supplement thereto, or based on any omission (or alleged omission) to state therein a material fact required to be stated therein or necessary to make the statements therein, in light of the circumstances in which they were made, not misleading, and will reimburse each of the Holder Indemnified Parties for any reasonable and documented out-of-pocket legal expenses and any other reasonable and documented out-of-pocket expenses actually incurred in connection with investigating, defending or, subject to the last sentence of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settling any such Losses or action, as such expenses are incurred, in each case to the extent, but only to the extent, that such untrue statement (or alleged untrue statement) or omission (or alleged omission) is made in such registration statement, prospectus, offering circular, Issuer Free Writing Prospectus or other document in reliance upon and in conformity with written information regarding such Holder furnished to the Company by such Holder;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in no event shall any indemnity under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payable by any Holder exceed an amount equal to the gross proceeds (net of any underwriting commissions and discounts, but before deducting other expenses) received by such Holder in respect of the Registrable Securities sold pursuant to the registration statement. The indemnity agreement contained in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shall not apply to amounts paid in settlement of any loss, claim, damage, liability or action if such settlement is effected without the prior written consent of the applicable Holder (which consent shall not be unreasonably withheld or delayed).</w:t>
      </w:r>
    </w:p>
    <w:p>
      <w:pPr>
        <w:spacing w:after="0" w:line="187" w:lineRule="exact"/>
        <w:rPr>
          <w:sz w:val="20"/>
          <w:szCs w:val="20"/>
          <w:color w:val="auto"/>
        </w:rPr>
      </w:pPr>
    </w:p>
    <w:p>
      <w:pPr>
        <w:ind w:right="60" w:firstLine="645"/>
        <w:spacing w:after="0" w:line="258" w:lineRule="auto"/>
        <w:rPr>
          <w:sz w:val="20"/>
          <w:szCs w:val="20"/>
          <w:color w:val="auto"/>
        </w:rPr>
      </w:pPr>
      <w:r>
        <w:rPr>
          <w:rFonts w:ascii="Times New Roman" w:cs="Times New Roman" w:eastAsia="Times New Roman" w:hAnsi="Times New Roman"/>
          <w:sz w:val="21"/>
          <w:szCs w:val="21"/>
          <w:color w:val="auto"/>
        </w:rPr>
        <w:t xml:space="preserve">Section 3.3 </w:t>
      </w:r>
      <w:r>
        <w:rPr>
          <w:rFonts w:ascii="Times New Roman" w:cs="Times New Roman" w:eastAsia="Times New Roman" w:hAnsi="Times New Roman"/>
          <w:sz w:val="21"/>
          <w:szCs w:val="21"/>
          <w:u w:val="single" w:color="auto"/>
          <w:color w:val="auto"/>
        </w:rPr>
        <w:t>Notification</w:t>
      </w:r>
      <w:r>
        <w:rPr>
          <w:rFonts w:ascii="Times New Roman" w:cs="Times New Roman" w:eastAsia="Times New Roman" w:hAnsi="Times New Roman"/>
          <w:sz w:val="21"/>
          <w:szCs w:val="21"/>
          <w:color w:val="auto"/>
        </w:rPr>
        <w:t xml:space="preserve">. If any Person shall be entitled to indemnification under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(each, an “</w:t>
      </w:r>
      <w:r>
        <w:rPr>
          <w:rFonts w:ascii="Times New Roman" w:cs="Times New Roman" w:eastAsia="Times New Roman" w:hAnsi="Times New Roman"/>
          <w:sz w:val="21"/>
          <w:szCs w:val="21"/>
          <w:u w:val="single" w:color="auto"/>
          <w:color w:val="auto"/>
        </w:rPr>
        <w:t>Indemnified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such Indemnified Party shall give prompt notice to the party required to provide indemnification (each, an “</w:t>
      </w:r>
      <w:r>
        <w:rPr>
          <w:rFonts w:ascii="Times New Roman" w:cs="Times New Roman" w:eastAsia="Times New Roman" w:hAnsi="Times New Roman"/>
          <w:sz w:val="21"/>
          <w:szCs w:val="21"/>
          <w:u w:val="single" w:color="auto"/>
          <w:color w:val="auto"/>
        </w:rPr>
        <w:t>Indemnifying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xml:space="preserve">”) of any claim or of the commencement of any proceeding as to which indemnity is sought. The Indemnifying Party shall have the right, exercisable by giving written notice to the Indemnified Party as promptly as is reasonably practicable after the receipt of written notice from such Indemnified Party of such claim or proceeding, to assume, at the Indemnifying Party’s expense, the defense of any such claim or litigation, with counsel reasonably satisfactory to the Indemnified Party and, after notice from the Indemnifying Party to such Indemnified Party of its election to assume the defense thereof, the Indemnifying Party will not (so long as it shall continue to have the right to defend, contest, litigate and settle the matter in question in accordance with this paragraph) be liable to such Indemnified Party hereunder for any legal expenses and other expenses subsequently incurred by such Indemnified Party in connection with the defense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 Indemnified Party shall have the right to employ one (1) separate counsel in any such claim or litigation, but the fees and expenses of such counsel shall be at the expense of such Indemnified Party unless the Indemnifying Party shall have failed within a reasonable period of time to assume such defense and the Indemnified Party is or would reasonably be expected to be materially prejudiced by such delay;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however, that the Indemnifying Party shall not, in connection with any one such claim or proceeding or separate but substantially similar or related claims or proceedings in the same jurisdiction, arising out of the same general allegations or circumstances, be liable for the fees and expenses of more than one firm of attorneys (together with appropriate local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415" w:right="339" w:bottom="1440" w:gutter="0" w:footer="0" w:header="0"/>
        </w:sectPr>
      </w:pPr>
    </w:p>
    <w:bookmarkStart w:id="188" w:name="page189"/>
    <w:bookmarkEnd w:id="188"/>
    <w:p>
      <w:pPr>
        <w:spacing w:after="0" w:line="261" w:lineRule="auto"/>
        <w:rPr>
          <w:sz w:val="20"/>
          <w:szCs w:val="20"/>
          <w:color w:val="auto"/>
        </w:rPr>
      </w:pPr>
      <w:r>
        <w:rPr>
          <w:rFonts w:ascii="Times New Roman" w:cs="Times New Roman" w:eastAsia="Times New Roman" w:hAnsi="Times New Roman"/>
          <w:sz w:val="21"/>
          <w:szCs w:val="21"/>
          <w:color w:val="auto"/>
        </w:rPr>
        <w:t xml:space="preserve">counsel) at any time for all of the Indemnified Parties, or for fees and expenses that are not reasonable. The failure of any Indemnified Party to give notice as provided herein shall relieve an Indemnifying Party of its obligations under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only to the extent that the failure to give such notice is materially prejudicial or harmful to such Indemnifying Party’s ability to defend such action. No Indemnifying Party, in the defense of any such claim or litigation, shall, except with the prior written consent of each Indemnified Party (which consent shall not be unreasonably withheld or delayed), consent to entry of any judgment or enter into any settlement which does not include as an unconditional term thereof the giving by the claimant or plaintiff to such Indemnified Party of a release from all liability in respect to such claim or litigation. An Indemnifying Party who is not entitled to, or elects not to, assume the defense of a claim will not be obligated to pay the fees and expenses of more than one counsel for all parties indemnified by such Indemnifying Party with respect to such claim.</w:t>
      </w:r>
    </w:p>
    <w:p>
      <w:pPr>
        <w:spacing w:after="0" w:line="176" w:lineRule="exact"/>
        <w:rPr>
          <w:sz w:val="20"/>
          <w:szCs w:val="20"/>
          <w:color w:val="auto"/>
        </w:rPr>
      </w:pPr>
    </w:p>
    <w:p>
      <w:pPr>
        <w:ind w:firstLine="645"/>
        <w:spacing w:after="0" w:line="258" w:lineRule="auto"/>
        <w:rPr>
          <w:sz w:val="20"/>
          <w:szCs w:val="20"/>
          <w:color w:val="auto"/>
        </w:rPr>
      </w:pPr>
      <w:r>
        <w:rPr>
          <w:rFonts w:ascii="Times New Roman" w:cs="Times New Roman" w:eastAsia="Times New Roman" w:hAnsi="Times New Roman"/>
          <w:sz w:val="21"/>
          <w:szCs w:val="21"/>
          <w:color w:val="auto"/>
        </w:rPr>
        <w:t xml:space="preserve">Section 3.4 </w:t>
      </w:r>
      <w:r>
        <w:rPr>
          <w:rFonts w:ascii="Times New Roman" w:cs="Times New Roman" w:eastAsia="Times New Roman" w:hAnsi="Times New Roman"/>
          <w:sz w:val="21"/>
          <w:szCs w:val="21"/>
          <w:u w:val="single" w:color="auto"/>
          <w:color w:val="auto"/>
        </w:rPr>
        <w:t>Contribution</w:t>
      </w:r>
      <w:r>
        <w:rPr>
          <w:rFonts w:ascii="Times New Roman" w:cs="Times New Roman" w:eastAsia="Times New Roman" w:hAnsi="Times New Roman"/>
          <w:sz w:val="21"/>
          <w:szCs w:val="21"/>
          <w:color w:val="auto"/>
        </w:rPr>
        <w:t xml:space="preserve">. If the indemnification provided for in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is held by a court of competent jurisdiction to be unavailable to an Indemnified Party, other than pursuant to its terms, with respect to any Losses or action referred to therein, then, subject to the limitations contained in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the Indemnifying Party, in lieu of indemnifying such Indemnified Party hereunder, shall contribute to the amount paid or payable by such Indemnified Party as a result of such Losses or action in such proportion as is appropriate to reflect the relative fault of the Indemnifying Party, on the one hand, and the Indemnified Party, on the other, in connection with the actions, statements or omissions that resulted in such Losses or action, as well as any other relevant equitable considerations. The relative fault of the Indemnifying Party, on the one hand, and the Indemnified Party, on the other hand, shall be determined by reference to, among other things, whether any action in question, including any untrue or alleged untrue statement of a material fact or omission or alleged omission to state a material fact, has been made (or omitted) by, or relates to information supplied by such Indemnifying Party or such Indemnified Party, and the parties’ relative intent, knowledge, access to information and opportunity to correct or prevent any such action, statement or omission. The Company and the Holders agree that it would not be just and equitable if contribution pursuant to this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was determined solely upon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allocation or by any other method of allocation which does not take account of the equitable considerations referred to in the immediately preceding sentence of this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Notwithstanding the foregoing, the amount any Holder will be obligated to contribute pursuant to this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will be limited to an amount equal to the gross proceeds (net of any underwriting commissions and discounts, but before deducting other expenses) received by such Holder in respect of the Registrable Securities sold pursuant to the registration statement which gives rise to such obligation to contribute. No Person guilty of fraudulent misrepresentation (within the meaning of Section 11(f) of the Securities Act) shall be entitled to contribution or indemnification from any Person who was not also guilty of such fraudulent misrepresentation.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140"/>
          </w:cols>
          <w:pgMar w:left="320" w:top="1415" w:right="439" w:bottom="1440" w:gutter="0" w:footer="0" w:header="0"/>
        </w:sectPr>
      </w:pPr>
    </w:p>
    <w:bookmarkStart w:id="189" w:name="page190"/>
    <w:bookmarkEnd w:id="189"/>
    <w:p>
      <w:pPr>
        <w:jc w:val="center"/>
        <w:ind w:right="-19"/>
        <w:spacing w:after="0"/>
        <w:rPr>
          <w:sz w:val="20"/>
          <w:szCs w:val="20"/>
          <w:color w:val="auto"/>
        </w:rPr>
      </w:pPr>
      <w:r>
        <w:rPr>
          <w:rFonts w:ascii="Times New Roman" w:cs="Times New Roman" w:eastAsia="Times New Roman" w:hAnsi="Times New Roman"/>
          <w:sz w:val="21"/>
          <w:szCs w:val="21"/>
          <w:color w:val="auto"/>
        </w:rPr>
        <w:t>ARTICLE IV</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Transfer and Termination of Registration Rights</w:t>
      </w:r>
    </w:p>
    <w:p>
      <w:pPr>
        <w:spacing w:after="0" w:line="229" w:lineRule="exact"/>
        <w:rPr>
          <w:sz w:val="20"/>
          <w:szCs w:val="20"/>
          <w:color w:val="auto"/>
        </w:rPr>
      </w:pPr>
    </w:p>
    <w:p>
      <w:pPr>
        <w:ind w:right="80" w:firstLine="645"/>
        <w:spacing w:after="0" w:line="264" w:lineRule="auto"/>
        <w:rPr>
          <w:sz w:val="20"/>
          <w:szCs w:val="20"/>
          <w:color w:val="auto"/>
        </w:rPr>
      </w:pPr>
      <w:r>
        <w:rPr>
          <w:rFonts w:ascii="Times New Roman" w:cs="Times New Roman" w:eastAsia="Times New Roman" w:hAnsi="Times New Roman"/>
          <w:sz w:val="21"/>
          <w:szCs w:val="21"/>
          <w:color w:val="auto"/>
        </w:rPr>
        <w:t xml:space="preserve">Section 4.1 </w:t>
      </w:r>
      <w:r>
        <w:rPr>
          <w:rFonts w:ascii="Times New Roman" w:cs="Times New Roman" w:eastAsia="Times New Roman" w:hAnsi="Times New Roman"/>
          <w:sz w:val="21"/>
          <w:szCs w:val="21"/>
          <w:u w:val="single" w:color="auto"/>
          <w:color w:val="auto"/>
        </w:rPr>
        <w:t>Transfer of Registration Rights</w:t>
      </w:r>
      <w:r>
        <w:rPr>
          <w:rFonts w:ascii="Times New Roman" w:cs="Times New Roman" w:eastAsia="Times New Roman" w:hAnsi="Times New Roman"/>
          <w:sz w:val="21"/>
          <w:szCs w:val="21"/>
          <w:color w:val="auto"/>
        </w:rPr>
        <w:t xml:space="preserve">. Any rights to cause the Company to register securities granted to a Holder under this Agreement may be transferred or assigned to a Permitted Transferee of the Investor in connection with a Transfer (as defined in the Subscription Agreement) of Registrable Securities to a Permitted Transferee;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 prior written notice of such assignment of rights is given to the Company, and (ii) such transferee agrees in writing to be bound by, and subject to, this Agreement as a “</w:t>
      </w:r>
      <w:r>
        <w:rPr>
          <w:rFonts w:ascii="Times New Roman" w:cs="Times New Roman" w:eastAsia="Times New Roman" w:hAnsi="Times New Roman"/>
          <w:sz w:val="21"/>
          <w:szCs w:val="21"/>
          <w:u w:val="single" w:color="auto"/>
          <w:color w:val="auto"/>
        </w:rPr>
        <w:t>Holder</w:t>
      </w:r>
      <w:r>
        <w:rPr>
          <w:rFonts w:ascii="Times New Roman" w:cs="Times New Roman" w:eastAsia="Times New Roman" w:hAnsi="Times New Roman"/>
          <w:sz w:val="21"/>
          <w:szCs w:val="21"/>
          <w:color w:val="auto"/>
        </w:rPr>
        <w:t>” pursuant to the form of Permitted Transferee Joinder attached to the Subscription Agreement.</w:t>
      </w:r>
    </w:p>
    <w:p>
      <w:pPr>
        <w:spacing w:after="0" w:line="200" w:lineRule="exact"/>
        <w:rPr>
          <w:sz w:val="20"/>
          <w:szCs w:val="20"/>
          <w:color w:val="auto"/>
        </w:rPr>
      </w:pPr>
    </w:p>
    <w:p>
      <w:pPr>
        <w:spacing w:after="0" w:line="245" w:lineRule="exact"/>
        <w:rPr>
          <w:sz w:val="20"/>
          <w:szCs w:val="20"/>
          <w:color w:val="auto"/>
        </w:rPr>
      </w:pPr>
    </w:p>
    <w:p>
      <w:pPr>
        <w:ind w:right="40" w:firstLine="645"/>
        <w:spacing w:after="0" w:line="266" w:lineRule="auto"/>
        <w:rPr>
          <w:sz w:val="20"/>
          <w:szCs w:val="20"/>
          <w:color w:val="auto"/>
        </w:rPr>
      </w:pPr>
      <w:r>
        <w:rPr>
          <w:rFonts w:ascii="Times New Roman" w:cs="Times New Roman" w:eastAsia="Times New Roman" w:hAnsi="Times New Roman"/>
          <w:sz w:val="21"/>
          <w:szCs w:val="21"/>
          <w:color w:val="auto"/>
        </w:rPr>
        <w:t xml:space="preserve">Section 4.2 </w:t>
      </w:r>
      <w:r>
        <w:rPr>
          <w:rFonts w:ascii="Times New Roman" w:cs="Times New Roman" w:eastAsia="Times New Roman" w:hAnsi="Times New Roman"/>
          <w:sz w:val="21"/>
          <w:szCs w:val="21"/>
          <w:u w:val="single" w:color="auto"/>
          <w:color w:val="auto"/>
        </w:rPr>
        <w:t>Termination of Registration Rights</w:t>
      </w:r>
      <w:r>
        <w:rPr>
          <w:rFonts w:ascii="Times New Roman" w:cs="Times New Roman" w:eastAsia="Times New Roman" w:hAnsi="Times New Roman"/>
          <w:sz w:val="21"/>
          <w:szCs w:val="21"/>
          <w:color w:val="auto"/>
        </w:rPr>
        <w:t xml:space="preserve">. The rights of any particular Holder to cause the Company to register securities under </w:t>
      </w:r>
      <w:r>
        <w:rPr>
          <w:rFonts w:ascii="Times New Roman" w:cs="Times New Roman" w:eastAsia="Times New Roman" w:hAnsi="Times New Roman"/>
          <w:sz w:val="21"/>
          <w:szCs w:val="21"/>
          <w:u w:val="single" w:color="auto"/>
          <w:color w:val="auto"/>
        </w:rPr>
        <w:t>Article I</w:t>
      </w:r>
      <w:r>
        <w:rPr>
          <w:rFonts w:ascii="Times New Roman" w:cs="Times New Roman" w:eastAsia="Times New Roman" w:hAnsi="Times New Roman"/>
          <w:sz w:val="21"/>
          <w:szCs w:val="21"/>
          <w:color w:val="auto"/>
        </w:rPr>
        <w:t xml:space="preserve"> shall terminate with respect to such Holder upon the date upon which such Holder no longer holds any Registrable Securities. The registration rights set forth in this Agreement shall terminate on the date on which all Common Shares issued pursuant to the Subscription Agreement cease to be Registrable Securities.</w:t>
      </w:r>
    </w:p>
    <w:p>
      <w:pPr>
        <w:spacing w:after="0" w:line="16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color w:val="auto"/>
        </w:rPr>
        <w:t>ARTICLE V</w:t>
      </w:r>
    </w:p>
    <w:p>
      <w:pPr>
        <w:spacing w:after="0" w:line="22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u w:val="single" w:color="auto"/>
          <w:color w:val="auto"/>
        </w:rPr>
        <w:t>Miscellaneous</w:t>
      </w:r>
    </w:p>
    <w:p>
      <w:pPr>
        <w:spacing w:after="0" w:line="242" w:lineRule="exact"/>
        <w:rPr>
          <w:sz w:val="20"/>
          <w:szCs w:val="20"/>
          <w:color w:val="auto"/>
        </w:rPr>
      </w:pPr>
    </w:p>
    <w:p>
      <w:pPr>
        <w:ind w:firstLine="645"/>
        <w:spacing w:after="0" w:line="263" w:lineRule="auto"/>
        <w:rPr>
          <w:sz w:val="20"/>
          <w:szCs w:val="20"/>
          <w:color w:val="auto"/>
        </w:rPr>
      </w:pPr>
      <w:r>
        <w:rPr>
          <w:rFonts w:ascii="Times New Roman" w:cs="Times New Roman" w:eastAsia="Times New Roman" w:hAnsi="Times New Roman"/>
          <w:sz w:val="21"/>
          <w:szCs w:val="21"/>
          <w:color w:val="auto"/>
        </w:rPr>
        <w:t xml:space="preserve">Section 5.1 </w:t>
      </w:r>
      <w:r>
        <w:rPr>
          <w:rFonts w:ascii="Times New Roman" w:cs="Times New Roman" w:eastAsia="Times New Roman" w:hAnsi="Times New Roman"/>
          <w:sz w:val="21"/>
          <w:szCs w:val="21"/>
          <w:u w:val="single" w:color="auto"/>
          <w:color w:val="auto"/>
        </w:rPr>
        <w:t>Amendments and Waivers</w:t>
      </w:r>
      <w:r>
        <w:rPr>
          <w:rFonts w:ascii="Times New Roman" w:cs="Times New Roman" w:eastAsia="Times New Roman" w:hAnsi="Times New Roman"/>
          <w:sz w:val="21"/>
          <w:szCs w:val="21"/>
          <w:color w:val="auto"/>
        </w:rPr>
        <w:t>. Subject to compliance with applicable law, this Agreement may be amended or supplemented in any and all respects by written agreement of the Company and the Holders of a majority of all Registrable Securities. Notwithstanding the foregoing, this Agreement may be amended by a written agreement between the Company and the Investor, without the consent of the Holders of the Registrable Securities, in order to cure any ambiguity or to correct or supplement any provision contained herein, provided that no such amendment shall adversely affect the interest of the Holders of Registrable Securities.</w:t>
      </w:r>
    </w:p>
    <w:p>
      <w:pPr>
        <w:spacing w:after="0" w:line="172" w:lineRule="exact"/>
        <w:rPr>
          <w:sz w:val="20"/>
          <w:szCs w:val="20"/>
          <w:color w:val="auto"/>
        </w:rPr>
      </w:pPr>
    </w:p>
    <w:p>
      <w:pPr>
        <w:ind w:right="40" w:firstLine="645"/>
        <w:spacing w:after="0" w:line="262" w:lineRule="auto"/>
        <w:rPr>
          <w:sz w:val="20"/>
          <w:szCs w:val="20"/>
          <w:color w:val="auto"/>
        </w:rPr>
      </w:pPr>
      <w:r>
        <w:rPr>
          <w:rFonts w:ascii="Times New Roman" w:cs="Times New Roman" w:eastAsia="Times New Roman" w:hAnsi="Times New Roman"/>
          <w:sz w:val="21"/>
          <w:szCs w:val="21"/>
          <w:color w:val="auto"/>
        </w:rPr>
        <w:t xml:space="preserve">Section 5.2 </w:t>
      </w:r>
      <w:r>
        <w:rPr>
          <w:rFonts w:ascii="Times New Roman" w:cs="Times New Roman" w:eastAsia="Times New Roman" w:hAnsi="Times New Roman"/>
          <w:sz w:val="21"/>
          <w:szCs w:val="21"/>
          <w:u w:val="single" w:color="auto"/>
          <w:color w:val="auto"/>
        </w:rPr>
        <w:t>Extension of Time, Waiver, Etc</w:t>
      </w:r>
      <w:r>
        <w:rPr>
          <w:rFonts w:ascii="Times New Roman" w:cs="Times New Roman" w:eastAsia="Times New Roman" w:hAnsi="Times New Roman"/>
          <w:sz w:val="21"/>
          <w:szCs w:val="21"/>
          <w:color w:val="auto"/>
        </w:rPr>
        <w:t>. The parties hereto may, subject to applicable law, (a) extend the time for the performance of any of the obligations or acts of the other party or (b) waive compliance by the other party with any of the agreements contained herein applicable to such party or, except as otherwise provided herein, waive any of such party’s conditions. Notwithstanding the foregoing, no failure or delay by the parties hereto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170" w:lineRule="exact"/>
        <w:rPr>
          <w:sz w:val="20"/>
          <w:szCs w:val="20"/>
          <w:color w:val="auto"/>
        </w:rPr>
      </w:pPr>
    </w:p>
    <w:p>
      <w:pPr>
        <w:ind w:right="60" w:firstLine="645"/>
        <w:spacing w:after="0" w:line="272" w:lineRule="auto"/>
        <w:rPr>
          <w:sz w:val="20"/>
          <w:szCs w:val="20"/>
          <w:color w:val="auto"/>
        </w:rPr>
      </w:pPr>
      <w:r>
        <w:rPr>
          <w:rFonts w:ascii="Times New Roman" w:cs="Times New Roman" w:eastAsia="Times New Roman" w:hAnsi="Times New Roman"/>
          <w:sz w:val="21"/>
          <w:szCs w:val="21"/>
          <w:color w:val="auto"/>
        </w:rPr>
        <w:t xml:space="preserve">Section 5.3 </w:t>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xml:space="preserve">. Except as provided in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neither this Agreement nor any of the rights, interests or obligations hereunder shall be assigned, in whole or in part, by operation of law or otherwise, by any of the parties hereto without the prior written consent of the other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20"/>
          </w:cols>
          <w:pgMar w:left="320" w:top="1415" w:right="359" w:bottom="1440" w:gutter="0" w:footer="0" w:header="0"/>
        </w:sectPr>
      </w:pPr>
    </w:p>
    <w:bookmarkStart w:id="190" w:name="page191"/>
    <w:bookmarkEnd w:id="190"/>
    <w:p>
      <w:pPr>
        <w:ind w:firstLine="645"/>
        <w:spacing w:after="0" w:line="262" w:lineRule="auto"/>
        <w:rPr>
          <w:sz w:val="20"/>
          <w:szCs w:val="20"/>
          <w:color w:val="auto"/>
        </w:rPr>
      </w:pPr>
      <w:r>
        <w:rPr>
          <w:rFonts w:ascii="Times New Roman" w:cs="Times New Roman" w:eastAsia="Times New Roman" w:hAnsi="Times New Roman"/>
          <w:sz w:val="21"/>
          <w:szCs w:val="21"/>
          <w:color w:val="auto"/>
        </w:rPr>
        <w:t xml:space="preserve">Section 5.4 </w:t>
      </w:r>
      <w:r>
        <w:rPr>
          <w:rFonts w:ascii="Times New Roman" w:cs="Times New Roman" w:eastAsia="Times New Roman" w:hAnsi="Times New Roman"/>
          <w:sz w:val="21"/>
          <w:szCs w:val="21"/>
          <w:u w:val="single" w:color="auto"/>
          <w:color w:val="auto"/>
        </w:rPr>
        <w:t>Counterparts; Electronic Signature</w:t>
      </w:r>
      <w:r>
        <w:rPr>
          <w:rFonts w:ascii="Times New Roman" w:cs="Times New Roman" w:eastAsia="Times New Roman" w:hAnsi="Times New Roman"/>
          <w:sz w:val="21"/>
          <w:szCs w:val="21"/>
          <w:color w:val="auto"/>
        </w:rPr>
        <w:t>. This Agreement may be executed and delivered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This Agreement may be executed by facsimile, by any electronic signature covered by the U.S. federal ESIGN Act of 2000, Uniform Electronic Transactions Act, the Electronic Signatures and Records Act, or other Requirements of Law, e.g., www.docusign.com or by .pdf signature by any party and such signature shall be deemed binding for all purposes hereof without delivery of an original signature being thereafter required.</w:t>
      </w:r>
    </w:p>
    <w:p>
      <w:pPr>
        <w:spacing w:after="0" w:line="170" w:lineRule="exact"/>
        <w:rPr>
          <w:sz w:val="20"/>
          <w:szCs w:val="20"/>
          <w:color w:val="auto"/>
        </w:rPr>
      </w:pPr>
    </w:p>
    <w:p>
      <w:pPr>
        <w:ind w:firstLine="645"/>
        <w:spacing w:after="0" w:line="266" w:lineRule="auto"/>
        <w:rPr>
          <w:sz w:val="20"/>
          <w:szCs w:val="20"/>
          <w:color w:val="auto"/>
        </w:rPr>
      </w:pPr>
      <w:r>
        <w:rPr>
          <w:rFonts w:ascii="Times New Roman" w:cs="Times New Roman" w:eastAsia="Times New Roman" w:hAnsi="Times New Roman"/>
          <w:sz w:val="21"/>
          <w:szCs w:val="21"/>
          <w:color w:val="auto"/>
        </w:rPr>
        <w:t xml:space="preserve">Section 5.5 </w:t>
      </w:r>
      <w:r>
        <w:rPr>
          <w:rFonts w:ascii="Times New Roman" w:cs="Times New Roman" w:eastAsia="Times New Roman" w:hAnsi="Times New Roman"/>
          <w:sz w:val="21"/>
          <w:szCs w:val="21"/>
          <w:u w:val="single" w:color="auto"/>
          <w:color w:val="auto"/>
        </w:rPr>
        <w:t>Entire Agreement; No Third Party Beneficiary</w:t>
      </w:r>
      <w:r>
        <w:rPr>
          <w:rFonts w:ascii="Times New Roman" w:cs="Times New Roman" w:eastAsia="Times New Roman" w:hAnsi="Times New Roman"/>
          <w:sz w:val="21"/>
          <w:szCs w:val="21"/>
          <w:color w:val="auto"/>
        </w:rPr>
        <w:t>. This Agreement, and the other Transaction Documents, constitutes the entire agreement, and supersedes all other prior agreements and understandings, both written and oral, among the parties and their Affiliates, or any of them, with respect to the subject matter hereof and thereof, except for contracts and agreements referred to herein. No provision of this Agreement shall confer upon any Person other than the parties hereto and their permitted assigns any rights or remedies hereunder.</w:t>
      </w:r>
    </w:p>
    <w:p>
      <w:pPr>
        <w:spacing w:after="0" w:line="16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1"/>
          <w:szCs w:val="21"/>
          <w:color w:val="auto"/>
        </w:rPr>
        <w:t>Section 5.6</w:t>
      </w:r>
      <w:r>
        <w:rPr>
          <w:sz w:val="20"/>
          <w:szCs w:val="20"/>
          <w:color w:val="auto"/>
        </w:rPr>
        <w:tab/>
      </w:r>
      <w:r>
        <w:rPr>
          <w:rFonts w:ascii="Times New Roman" w:cs="Times New Roman" w:eastAsia="Times New Roman" w:hAnsi="Times New Roman"/>
          <w:sz w:val="21"/>
          <w:szCs w:val="21"/>
          <w:u w:val="single" w:color="auto"/>
          <w:color w:val="auto"/>
        </w:rPr>
        <w:t>Governing Law; Jurisdiction</w:t>
      </w:r>
      <w:r>
        <w:rPr>
          <w:rFonts w:ascii="Times New Roman" w:cs="Times New Roman" w:eastAsia="Times New Roman" w:hAnsi="Times New Roman"/>
          <w:sz w:val="21"/>
          <w:szCs w:val="21"/>
          <w:color w:val="auto"/>
        </w:rPr>
        <w:t>.</w:t>
      </w:r>
    </w:p>
    <w:p>
      <w:pPr>
        <w:spacing w:after="0" w:line="229" w:lineRule="exact"/>
        <w:rPr>
          <w:sz w:val="20"/>
          <w:szCs w:val="20"/>
          <w:color w:val="auto"/>
        </w:rPr>
      </w:pPr>
    </w:p>
    <w:p>
      <w:pPr>
        <w:ind w:right="40" w:firstLine="652"/>
        <w:spacing w:after="0" w:line="270" w:lineRule="auto"/>
        <w:tabs>
          <w:tab w:leader="none" w:pos="1287"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and all matters, claims or Actions (whether at law, in equity, in Contract, in tort or otherwise) based upon, arising out of or relating to this Agreement or the negotiation, execution or performance of this Agreement (collectively, the “</w:t>
      </w:r>
      <w:r>
        <w:rPr>
          <w:rFonts w:ascii="Times New Roman" w:cs="Times New Roman" w:eastAsia="Times New Roman" w:hAnsi="Times New Roman"/>
          <w:sz w:val="21"/>
          <w:szCs w:val="21"/>
          <w:u w:val="single" w:color="auto"/>
          <w:color w:val="auto"/>
        </w:rPr>
        <w:t>Relevant Matters</w:t>
      </w:r>
      <w:r>
        <w:rPr>
          <w:rFonts w:ascii="Times New Roman" w:cs="Times New Roman" w:eastAsia="Times New Roman" w:hAnsi="Times New Roman"/>
          <w:sz w:val="21"/>
          <w:szCs w:val="21"/>
          <w:color w:val="auto"/>
        </w:rPr>
        <w:t>”), shall be governed by, and construed in accordance with, the laws of the State of New York, regardless of the laws that might otherwise govern under any applicable conflict of Laws principles.</w:t>
      </w:r>
    </w:p>
    <w:p>
      <w:pPr>
        <w:spacing w:after="0" w:line="162" w:lineRule="exact"/>
        <w:rPr>
          <w:rFonts w:ascii="Times New Roman" w:cs="Times New Roman" w:eastAsia="Times New Roman" w:hAnsi="Times New Roman"/>
          <w:sz w:val="21"/>
          <w:szCs w:val="21"/>
          <w:color w:val="auto"/>
        </w:rPr>
      </w:pPr>
    </w:p>
    <w:p>
      <w:pPr>
        <w:ind w:firstLine="652"/>
        <w:spacing w:after="0" w:line="259" w:lineRule="auto"/>
        <w:tabs>
          <w:tab w:leader="none" w:pos="1285"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actions arising out of or relating to any Relevant Matter (“</w:t>
      </w:r>
      <w:r>
        <w:rPr>
          <w:rFonts w:ascii="Times New Roman" w:cs="Times New Roman" w:eastAsia="Times New Roman" w:hAnsi="Times New Roman"/>
          <w:sz w:val="21"/>
          <w:szCs w:val="21"/>
          <w:u w:val="single" w:color="auto"/>
          <w:color w:val="auto"/>
        </w:rPr>
        <w:t>Actions</w:t>
      </w:r>
      <w:r>
        <w:rPr>
          <w:rFonts w:ascii="Times New Roman" w:cs="Times New Roman" w:eastAsia="Times New Roman" w:hAnsi="Times New Roman"/>
          <w:sz w:val="21"/>
          <w:szCs w:val="21"/>
          <w:color w:val="auto"/>
        </w:rPr>
        <w:t xml:space="preserve">”) shall be heard and determined in any state or federal court located in the Borough of Manhattan, The City of New York, New York, and the parties hereto hereby irrevocably submit to the exclusive jurisdiction and venue of such courts in any such Action and irrevocably waive the defense of an inconvenient forum or lack of jurisdiction to the maintenance of any such Action. The consents to jurisdiction and venue set forth in this </w:t>
      </w:r>
      <w:r>
        <w:rPr>
          <w:rFonts w:ascii="Times New Roman" w:cs="Times New Roman" w:eastAsia="Times New Roman" w:hAnsi="Times New Roman"/>
          <w:sz w:val="21"/>
          <w:szCs w:val="21"/>
          <w:u w:val="single" w:color="auto"/>
          <w:color w:val="auto"/>
        </w:rPr>
        <w:t>Section 5.6</w:t>
      </w:r>
      <w:r>
        <w:rPr>
          <w:rFonts w:ascii="Times New Roman" w:cs="Times New Roman" w:eastAsia="Times New Roman" w:hAnsi="Times New Roman"/>
          <w:sz w:val="21"/>
          <w:szCs w:val="21"/>
          <w:color w:val="auto"/>
        </w:rPr>
        <w:t xml:space="preserve"> shall not constitute general consents to service of process in the State of New York and shall have no effect for any purpose except as provided in this </w:t>
      </w:r>
      <w:r>
        <w:rPr>
          <w:rFonts w:ascii="Times New Roman" w:cs="Times New Roman" w:eastAsia="Times New Roman" w:hAnsi="Times New Roman"/>
          <w:sz w:val="21"/>
          <w:szCs w:val="21"/>
          <w:u w:val="single" w:color="auto"/>
          <w:color w:val="auto"/>
        </w:rPr>
        <w:t>Section 5.6</w:t>
      </w:r>
      <w:r>
        <w:rPr>
          <w:rFonts w:ascii="Times New Roman" w:cs="Times New Roman" w:eastAsia="Times New Roman" w:hAnsi="Times New Roman"/>
          <w:sz w:val="21"/>
          <w:szCs w:val="21"/>
          <w:color w:val="auto"/>
        </w:rPr>
        <w:t xml:space="preserve">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Times New Roman" w:cs="Times New Roman" w:eastAsia="Times New Roman" w:hAnsi="Times New Roman"/>
          <w:sz w:val="21"/>
          <w:szCs w:val="21"/>
          <w:u w:val="single" w:color="auto"/>
          <w:color w:val="auto"/>
        </w:rPr>
        <w:t>Section 5.9</w:t>
      </w:r>
      <w:r>
        <w:rPr>
          <w:rFonts w:ascii="Times New Roman" w:cs="Times New Roman" w:eastAsia="Times New Roman" w:hAnsi="Times New Roman"/>
          <w:sz w:val="21"/>
          <w:szCs w:val="21"/>
          <w:color w:val="auto"/>
        </w:rPr>
        <w:t xml:space="preserve"> of this Agreement. The parties hereto hereby waive any right to stay or dismiss any action or proceeding in connection with any Relevant Matter brought before the foregoing courts on the basis of (i) any claim that it is not personally subject to the jurisdiction of the above-named courts for any reason or that it or any of its property is immune from the above-described legal process, (ii) that such action or proceeding is brought in an inconvenient forum, that venue for the action or proceeding is improper or that this Agreement may not be enforced in or by such courts, or (iii) any other defense that would hinder or delay the levy, execution or collection of any amount to which any party hereto is entitled pursuant to any final judgment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00"/>
          </w:cols>
          <w:pgMar w:left="320" w:top="1415" w:right="379" w:bottom="1440" w:gutter="0" w:footer="0" w:header="0"/>
        </w:sectPr>
      </w:pPr>
    </w:p>
    <w:bookmarkStart w:id="191" w:name="page192"/>
    <w:bookmarkEnd w:id="191"/>
    <w:p>
      <w:pPr>
        <w:spacing w:after="0" w:line="270" w:lineRule="auto"/>
        <w:rPr>
          <w:sz w:val="20"/>
          <w:szCs w:val="20"/>
          <w:color w:val="auto"/>
        </w:rPr>
      </w:pPr>
      <w:r>
        <w:rPr>
          <w:rFonts w:ascii="Times New Roman" w:cs="Times New Roman" w:eastAsia="Times New Roman" w:hAnsi="Times New Roman"/>
          <w:sz w:val="21"/>
          <w:szCs w:val="21"/>
          <w:color w:val="auto"/>
        </w:rPr>
        <w:t>court having jurisdiction. The parties hereto agree that a final judgment in any such Action shall be conclusive and may be enforced in other jurisdictions by suit on the judgment or in any other manner provided by applicable Law; provided, however, that nothing in the foregoing shall restrict any party’s rights to seek any post-judgment relief regarding, or any appeal from, a final trial court judgment.</w:t>
      </w:r>
    </w:p>
    <w:p>
      <w:pPr>
        <w:spacing w:after="0" w:line="163" w:lineRule="exact"/>
        <w:rPr>
          <w:sz w:val="20"/>
          <w:szCs w:val="20"/>
          <w:color w:val="auto"/>
        </w:rPr>
      </w:pPr>
    </w:p>
    <w:p>
      <w:pPr>
        <w:ind w:right="40" w:firstLine="645"/>
        <w:spacing w:after="0" w:line="259" w:lineRule="auto"/>
        <w:rPr>
          <w:sz w:val="20"/>
          <w:szCs w:val="20"/>
          <w:color w:val="auto"/>
        </w:rPr>
      </w:pPr>
      <w:r>
        <w:rPr>
          <w:rFonts w:ascii="Times New Roman" w:cs="Times New Roman" w:eastAsia="Times New Roman" w:hAnsi="Times New Roman"/>
          <w:sz w:val="21"/>
          <w:szCs w:val="21"/>
          <w:color w:val="auto"/>
        </w:rPr>
        <w:t xml:space="preserve">Section 5.7 </w:t>
      </w:r>
      <w:r>
        <w:rPr>
          <w:rFonts w:ascii="Times New Roman" w:cs="Times New Roman" w:eastAsia="Times New Roman" w:hAnsi="Times New Roman"/>
          <w:sz w:val="21"/>
          <w:szCs w:val="21"/>
          <w:u w:val="single" w:color="auto"/>
          <w:color w:val="auto"/>
        </w:rPr>
        <w:t>Specific Enforcement</w:t>
      </w:r>
      <w:r>
        <w:rPr>
          <w:rFonts w:ascii="Times New Roman" w:cs="Times New Roman" w:eastAsia="Times New Roman" w:hAnsi="Times New Roman"/>
          <w:sz w:val="21"/>
          <w:szCs w:val="21"/>
          <w:color w:val="auto"/>
        </w:rPr>
        <w:t xml:space="preserve">. The parties acknowledge and agree that (a) the parties shall be entitled to an injunction or injunctions, specific performance or other equitable relief to enforce specifically the terms and provisions hereof in the courts described in </w:t>
      </w:r>
      <w:r>
        <w:rPr>
          <w:rFonts w:ascii="Times New Roman" w:cs="Times New Roman" w:eastAsia="Times New Roman" w:hAnsi="Times New Roman"/>
          <w:sz w:val="21"/>
          <w:szCs w:val="21"/>
          <w:u w:val="single" w:color="auto"/>
          <w:color w:val="auto"/>
        </w:rPr>
        <w:t>Section 5.6</w:t>
      </w:r>
      <w:r>
        <w:rPr>
          <w:rFonts w:ascii="Times New Roman" w:cs="Times New Roman" w:eastAsia="Times New Roman" w:hAnsi="Times New Roman"/>
          <w:sz w:val="21"/>
          <w:szCs w:val="21"/>
          <w:color w:val="auto"/>
        </w:rPr>
        <w:t xml:space="preserve"> without proof of damages or otherwise, this being in addition to any other remedy to which they are entitled under this Agreement and (b) the right of specific enforcement is an integral part of this Agreement and without that right, neither the Company nor the Investor would have entered into this Agreement. The parties hereto agree not to assert that a remedy of specific enforcement is unenforceable, invalid, contrary to law or inequitable for any reason, and agree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21"/>
          <w:szCs w:val="21"/>
          <w:u w:val="single" w:color="auto"/>
          <w:color w:val="auto"/>
        </w:rPr>
        <w:t>Section 5.7</w:t>
      </w:r>
      <w:r>
        <w:rPr>
          <w:rFonts w:ascii="Times New Roman" w:cs="Times New Roman" w:eastAsia="Times New Roman" w:hAnsi="Times New Roman"/>
          <w:sz w:val="21"/>
          <w:szCs w:val="21"/>
          <w:color w:val="auto"/>
        </w:rPr>
        <w:t xml:space="preserve"> shall not be required to provide any bond or other security in connection with any such order or injunction.</w:t>
      </w:r>
    </w:p>
    <w:p>
      <w:pPr>
        <w:spacing w:after="0" w:line="189" w:lineRule="exact"/>
        <w:rPr>
          <w:sz w:val="20"/>
          <w:szCs w:val="20"/>
          <w:color w:val="auto"/>
        </w:rPr>
      </w:pPr>
    </w:p>
    <w:p>
      <w:pPr>
        <w:ind w:firstLine="645"/>
        <w:spacing w:after="0" w:line="260" w:lineRule="auto"/>
        <w:rPr>
          <w:sz w:val="20"/>
          <w:szCs w:val="20"/>
          <w:color w:val="auto"/>
        </w:rPr>
      </w:pPr>
      <w:r>
        <w:rPr>
          <w:rFonts w:ascii="Times New Roman" w:cs="Times New Roman" w:eastAsia="Times New Roman" w:hAnsi="Times New Roman"/>
          <w:sz w:val="21"/>
          <w:szCs w:val="21"/>
          <w:color w:val="auto"/>
        </w:rPr>
        <w:t xml:space="preserve">Section 5.8 </w:t>
      </w: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xml:space="preserve">. EACH PARTY ACKNOWLEDGES AND AGREES THAT ANY CONTROVERSY WHICH MAY ARISE IN CONNECTION WITH ANY RELEVANT MATTER IS LIKELY TO INVOLVE COMPLICATED AND DIFFICULT ISSUES, AND THEREFORE IT HEREBY IRREVOCABLY AND UNCONDITIONALLY WAIVES, TO THE FULLEST EXTENT PERMITTED BY APPLICABLE LAW, ANY RIGHT IT MAY HAVE TO A TRIAL BY JURY IN RESPECT OF ANY ACTION DIRECTLY OR INDIRECTLY ARISING OUT OF OR RELATING TO ANY RELEVANT MATTER. EACH PARTY CERTIFIES AND ACKNOWLEDGES THAT (A) NO REPRESENTATIVE, AGENT OR ATTORNEY OF ANY OTHER PARTY HAS REPRESENTED, EXPRESSLY OR OTHERWISE, THAT SUCH OTHER PARTY WOULD NOT, IN THE EVENT OF ACTION,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 w:cs="Times New Roman" w:eastAsia="Times New Roman" w:hAnsi="Times New Roman"/>
          <w:sz w:val="21"/>
          <w:szCs w:val="21"/>
          <w:u w:val="single" w:color="auto"/>
          <w:color w:val="auto"/>
        </w:rPr>
        <w:t>SECTION 5.8</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right="100" w:firstLine="645"/>
        <w:spacing w:after="0" w:line="272" w:lineRule="auto"/>
        <w:rPr>
          <w:sz w:val="20"/>
          <w:szCs w:val="20"/>
          <w:color w:val="auto"/>
        </w:rPr>
      </w:pPr>
      <w:r>
        <w:rPr>
          <w:rFonts w:ascii="Times New Roman" w:cs="Times New Roman" w:eastAsia="Times New Roman" w:hAnsi="Times New Roman"/>
          <w:sz w:val="21"/>
          <w:szCs w:val="21"/>
          <w:color w:val="auto"/>
        </w:rPr>
        <w:t xml:space="preserve">Section 5.9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requests and other communications to any party hereunder shall be in writing and shall be deemed given if delivered personally, emailed (which is confirmed) or sent by overnight courier (providing proof of delivery) to the parties at the following addresses:</w:t>
      </w:r>
    </w:p>
    <w:p>
      <w:pPr>
        <w:spacing w:after="0" w:line="160" w:lineRule="exact"/>
        <w:rPr>
          <w:sz w:val="20"/>
          <w:szCs w:val="20"/>
          <w:color w:val="auto"/>
        </w:rPr>
      </w:pPr>
    </w:p>
    <w:p>
      <w:pPr>
        <w:ind w:left="1300" w:hanging="648"/>
        <w:spacing w:after="0"/>
        <w:tabs>
          <w:tab w:leader="none" w:pos="130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Company, at:</w:t>
      </w:r>
    </w:p>
    <w:p>
      <w:pPr>
        <w:spacing w:after="0" w:line="228" w:lineRule="exact"/>
        <w:rPr>
          <w:rFonts w:ascii="Times New Roman" w:cs="Times New Roman" w:eastAsia="Times New Roman" w:hAnsi="Times New Roman"/>
          <w:sz w:val="21"/>
          <w:szCs w:val="21"/>
          <w:color w:val="auto"/>
        </w:rPr>
      </w:pPr>
    </w:p>
    <w:p>
      <w:pPr>
        <w:ind w:left="1300" w:right="6960"/>
        <w:spacing w:after="0" w:line="27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James River Group Holdings, Ltd. Clarendon House</w:t>
      </w:r>
    </w:p>
    <w:p>
      <w:pPr>
        <w:ind w:left="1300" w:right="8380"/>
        <w:spacing w:after="0" w:line="26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 Church Street Hamilton Pembroke HM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20"/>
          </w:cols>
          <w:pgMar w:left="320" w:top="1415" w:right="359" w:bottom="1440" w:gutter="0" w:footer="0" w:header="0"/>
        </w:sectPr>
      </w:pPr>
    </w:p>
    <w:bookmarkStart w:id="192" w:name="page193"/>
    <w:bookmarkEnd w:id="192"/>
    <w:p>
      <w:pPr>
        <w:ind w:left="648"/>
        <w:spacing w:after="0"/>
        <w:rPr>
          <w:sz w:val="20"/>
          <w:szCs w:val="20"/>
          <w:color w:val="auto"/>
        </w:rPr>
      </w:pPr>
      <w:r>
        <w:rPr>
          <w:rFonts w:ascii="Times New Roman" w:cs="Times New Roman" w:eastAsia="Times New Roman" w:hAnsi="Times New Roman"/>
          <w:sz w:val="21"/>
          <w:szCs w:val="21"/>
          <w:color w:val="auto"/>
        </w:rPr>
        <w:t>Bermuda</w:t>
      </w:r>
    </w:p>
    <w:p>
      <w:pPr>
        <w:spacing w:after="0" w:line="38"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1"/>
          <w:szCs w:val="21"/>
          <w:color w:val="auto"/>
        </w:rPr>
        <w:t>Email: [REDACTED]</w:t>
      </w:r>
    </w:p>
    <w:p>
      <w:pPr>
        <w:spacing w:after="0" w:line="20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1"/>
          <w:szCs w:val="21"/>
          <w:color w:val="auto"/>
        </w:rPr>
        <w:t>with a copy (which shall not constitute notice)</w:t>
      </w:r>
    </w:p>
    <w:p>
      <w:pPr>
        <w:spacing w:after="0" w:line="13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1"/>
          <w:szCs w:val="21"/>
          <w:color w:val="auto"/>
        </w:rPr>
        <w:t>to:</w:t>
      </w:r>
    </w:p>
    <w:p>
      <w:pPr>
        <w:spacing w:after="0" w:line="229"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1"/>
          <w:szCs w:val="21"/>
          <w:color w:val="auto"/>
        </w:rPr>
        <w:t>c/o James River Group, Inc.</w:t>
      </w:r>
    </w:p>
    <w:p>
      <w:pPr>
        <w:spacing w:after="0" w:line="38"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1"/>
          <w:szCs w:val="21"/>
          <w:color w:val="auto"/>
        </w:rPr>
        <w:t>1414 Raleigh Road, Suite 405</w:t>
      </w:r>
    </w:p>
    <w:p>
      <w:pPr>
        <w:spacing w:after="0" w:line="14"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1"/>
          <w:szCs w:val="21"/>
          <w:color w:val="auto"/>
        </w:rPr>
        <w:t>Chapel Hill, NC 27517</w:t>
      </w:r>
    </w:p>
    <w:p>
      <w:pPr>
        <w:spacing w:after="0" w:line="14"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1"/>
          <w:szCs w:val="21"/>
          <w:color w:val="auto"/>
        </w:rPr>
        <w:t>Attn: Jeanette Miller</w:t>
      </w:r>
    </w:p>
    <w:p>
      <w:pPr>
        <w:spacing w:after="0" w:line="14"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1"/>
          <w:szCs w:val="21"/>
          <w:color w:val="auto"/>
        </w:rPr>
        <w:t>Email: [REDACTED]</w:t>
      </w:r>
    </w:p>
    <w:p>
      <w:pPr>
        <w:spacing w:after="0" w:line="218"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1"/>
          <w:szCs w:val="21"/>
          <w:color w:val="auto"/>
        </w:rPr>
        <w:t>with a copy (which shall not constitute notice)</w:t>
      </w:r>
    </w:p>
    <w:p>
      <w:pPr>
        <w:spacing w:after="0" w:line="121"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1"/>
          <w:szCs w:val="21"/>
          <w:color w:val="auto"/>
        </w:rPr>
        <w:t>to:</w:t>
      </w:r>
    </w:p>
    <w:p>
      <w:pPr>
        <w:spacing w:after="0" w:line="229"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1"/>
          <w:szCs w:val="21"/>
          <w:color w:val="auto"/>
        </w:rPr>
        <w:t>Debevoise &amp; Plimpton LLP</w:t>
      </w:r>
    </w:p>
    <w:p>
      <w:pPr>
        <w:spacing w:after="0" w:line="38"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1"/>
          <w:szCs w:val="21"/>
          <w:color w:val="auto"/>
        </w:rPr>
        <w:t>66 Hudson Boulevard</w:t>
      </w:r>
    </w:p>
    <w:p>
      <w:pPr>
        <w:spacing w:after="0" w:line="14"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1"/>
          <w:szCs w:val="21"/>
          <w:color w:val="auto"/>
        </w:rPr>
        <w:t>New York, NY 10001</w:t>
      </w:r>
    </w:p>
    <w:p>
      <w:pPr>
        <w:spacing w:after="0" w:line="14"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1"/>
          <w:szCs w:val="21"/>
          <w:color w:val="auto"/>
        </w:rPr>
        <w:t>Attn: Alexander R. Cochran; Paulina Stanfel; Eric T. Juergens</w:t>
      </w:r>
    </w:p>
    <w:p>
      <w:pPr>
        <w:spacing w:after="0" w:line="27"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1"/>
          <w:szCs w:val="21"/>
          <w:color w:val="auto"/>
        </w:rPr>
        <w:t>Email: [REDACTED]; [REDACTED]; [REDACTED]</w:t>
      </w:r>
    </w:p>
    <w:p>
      <w:pPr>
        <w:spacing w:after="0" w:line="205" w:lineRule="exact"/>
        <w:rPr>
          <w:sz w:val="20"/>
          <w:szCs w:val="20"/>
          <w:color w:val="auto"/>
        </w:rPr>
      </w:pPr>
    </w:p>
    <w:p>
      <w:pPr>
        <w:ind w:left="648" w:hanging="648"/>
        <w:spacing w:after="0"/>
        <w:tabs>
          <w:tab w:leader="none" w:pos="648"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Investor, at:</w:t>
      </w:r>
    </w:p>
    <w:p>
      <w:pPr>
        <w:spacing w:after="0" w:line="228" w:lineRule="exact"/>
        <w:rPr>
          <w:rFonts w:ascii="Times New Roman" w:cs="Times New Roman" w:eastAsia="Times New Roman" w:hAnsi="Times New Roman"/>
          <w:sz w:val="21"/>
          <w:szCs w:val="21"/>
          <w:color w:val="auto"/>
        </w:rPr>
      </w:pPr>
    </w:p>
    <w:p>
      <w:pPr>
        <w:ind w:left="648" w:right="5919"/>
        <w:spacing w:after="0" w:line="26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Cavello Bay Reinsurance Limited A.S. Cooper Building, 4th Floor 26 Reid Street</w:t>
      </w:r>
    </w:p>
    <w:p>
      <w:pPr>
        <w:ind w:left="648" w:right="7359"/>
        <w:spacing w:after="0" w:line="25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Hamilton HM 11 Bermuda</w:t>
      </w:r>
    </w:p>
    <w:p>
      <w:pPr>
        <w:spacing w:after="0" w:line="1" w:lineRule="exact"/>
        <w:rPr>
          <w:rFonts w:ascii="Times New Roman" w:cs="Times New Roman" w:eastAsia="Times New Roman" w:hAnsi="Times New Roman"/>
          <w:sz w:val="21"/>
          <w:szCs w:val="21"/>
          <w:color w:val="auto"/>
        </w:rPr>
      </w:pPr>
    </w:p>
    <w:p>
      <w:pPr>
        <w:ind w:left="648"/>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Attn: Robert Morgan</w:t>
      </w:r>
    </w:p>
    <w:p>
      <w:pPr>
        <w:spacing w:after="0" w:line="13" w:lineRule="exact"/>
        <w:rPr>
          <w:rFonts w:ascii="Times New Roman" w:cs="Times New Roman" w:eastAsia="Times New Roman" w:hAnsi="Times New Roman"/>
          <w:sz w:val="21"/>
          <w:szCs w:val="21"/>
          <w:color w:val="auto"/>
        </w:rPr>
      </w:pPr>
    </w:p>
    <w:p>
      <w:pPr>
        <w:ind w:left="648"/>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Email: [REDACTED]</w:t>
      </w:r>
    </w:p>
    <w:p>
      <w:pPr>
        <w:spacing w:after="0" w:line="218" w:lineRule="exact"/>
        <w:rPr>
          <w:rFonts w:ascii="Times New Roman" w:cs="Times New Roman" w:eastAsia="Times New Roman" w:hAnsi="Times New Roman"/>
          <w:sz w:val="21"/>
          <w:szCs w:val="21"/>
          <w:color w:val="auto"/>
        </w:rPr>
      </w:pPr>
    </w:p>
    <w:p>
      <w:pPr>
        <w:ind w:left="648" w:right="4859"/>
        <w:spacing w:after="0" w:line="3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a copy (which shall not constitute notice) to:</w:t>
      </w:r>
    </w:p>
    <w:p>
      <w:pPr>
        <w:spacing w:after="0" w:line="32" w:lineRule="exact"/>
        <w:rPr>
          <w:rFonts w:ascii="Times New Roman" w:cs="Times New Roman" w:eastAsia="Times New Roman" w:hAnsi="Times New Roman"/>
          <w:sz w:val="21"/>
          <w:szCs w:val="21"/>
          <w:color w:val="auto"/>
        </w:rPr>
      </w:pPr>
    </w:p>
    <w:p>
      <w:pPr>
        <w:ind w:left="648"/>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Hogan Lovells US LLP</w:t>
      </w:r>
    </w:p>
    <w:p>
      <w:pPr>
        <w:spacing w:after="0" w:line="37" w:lineRule="exact"/>
        <w:rPr>
          <w:rFonts w:ascii="Times New Roman" w:cs="Times New Roman" w:eastAsia="Times New Roman" w:hAnsi="Times New Roman"/>
          <w:sz w:val="21"/>
          <w:szCs w:val="21"/>
          <w:color w:val="auto"/>
        </w:rPr>
      </w:pPr>
    </w:p>
    <w:p>
      <w:pPr>
        <w:ind w:left="648" w:right="6139"/>
        <w:spacing w:after="0" w:line="26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1735 Market Street, Suite 2300 Philadelphia, PA 19103-6996 Attn: Robert C. Juelke </w:t>
      </w:r>
      <w:r>
        <w:rPr>
          <w:rFonts w:ascii="Times New Roman" w:cs="Times New Roman" w:eastAsia="Times New Roman" w:hAnsi="Times New Roman"/>
          <w:sz w:val="19"/>
          <w:szCs w:val="19"/>
          <w:color w:val="auto"/>
        </w:rPr>
        <w:t xml:space="preserve">Email: </w:t>
      </w:r>
      <w:r>
        <w:rPr>
          <w:rFonts w:ascii="Times New Roman" w:cs="Times New Roman" w:eastAsia="Times New Roman" w:hAnsi="Times New Roman"/>
          <w:sz w:val="21"/>
          <w:szCs w:val="21"/>
          <w:color w:val="auto"/>
        </w:rPr>
        <w:t>[REDACTED]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7"/>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9487"/>
          </w:cols>
          <w:pgMar w:left="972" w:top="1415" w:right="1440" w:bottom="1440" w:gutter="0" w:footer="0" w:header="0"/>
        </w:sectPr>
      </w:pPr>
    </w:p>
    <w:bookmarkStart w:id="193" w:name="page194"/>
    <w:bookmarkEnd w:id="193"/>
    <w:p>
      <w:pPr>
        <w:ind w:left="1300" w:hanging="648"/>
        <w:spacing w:after="0"/>
        <w:tabs>
          <w:tab w:leader="none" w:pos="130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any other Holder, to the address(es) and e-mail(s) set forth in such Holder’s joinder.</w:t>
      </w:r>
    </w:p>
    <w:p>
      <w:pPr>
        <w:spacing w:after="0" w:line="22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200" w:lineRule="exact"/>
        <w:rPr>
          <w:sz w:val="20"/>
          <w:szCs w:val="20"/>
          <w:color w:val="auto"/>
        </w:rPr>
      </w:pPr>
    </w:p>
    <w:p>
      <w:pPr>
        <w:spacing w:after="0" w:line="226" w:lineRule="exact"/>
        <w:rPr>
          <w:sz w:val="20"/>
          <w:szCs w:val="20"/>
          <w:color w:val="auto"/>
        </w:rPr>
      </w:pPr>
    </w:p>
    <w:p>
      <w:pPr>
        <w:ind w:right="60" w:firstLine="645"/>
        <w:spacing w:after="0" w:line="264" w:lineRule="auto"/>
        <w:rPr>
          <w:sz w:val="20"/>
          <w:szCs w:val="20"/>
          <w:color w:val="auto"/>
        </w:rPr>
      </w:pPr>
      <w:r>
        <w:rPr>
          <w:rFonts w:ascii="Times New Roman" w:cs="Times New Roman" w:eastAsia="Times New Roman" w:hAnsi="Times New Roman"/>
          <w:sz w:val="21"/>
          <w:szCs w:val="21"/>
          <w:color w:val="auto"/>
        </w:rPr>
        <w:t xml:space="preserve">Section 5.10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w:t>
      </w:r>
    </w:p>
    <w:p>
      <w:pPr>
        <w:spacing w:after="0" w:line="200" w:lineRule="exact"/>
        <w:rPr>
          <w:sz w:val="20"/>
          <w:szCs w:val="20"/>
          <w:color w:val="auto"/>
        </w:rPr>
      </w:pPr>
    </w:p>
    <w:p>
      <w:pPr>
        <w:spacing w:after="0" w:line="232" w:lineRule="exact"/>
        <w:rPr>
          <w:sz w:val="20"/>
          <w:szCs w:val="20"/>
          <w:color w:val="auto"/>
        </w:rPr>
      </w:pPr>
    </w:p>
    <w:p>
      <w:pPr>
        <w:ind w:firstLine="645"/>
        <w:spacing w:after="0" w:line="279" w:lineRule="auto"/>
        <w:rPr>
          <w:sz w:val="20"/>
          <w:szCs w:val="20"/>
          <w:color w:val="auto"/>
        </w:rPr>
      </w:pPr>
      <w:r>
        <w:rPr>
          <w:rFonts w:ascii="Times New Roman" w:cs="Times New Roman" w:eastAsia="Times New Roman" w:hAnsi="Times New Roman"/>
          <w:sz w:val="21"/>
          <w:szCs w:val="21"/>
          <w:color w:val="auto"/>
        </w:rPr>
        <w:t xml:space="preserve">Section 5.11 </w:t>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xml:space="preserve">. Except as provided in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all costs and expenses, including fees and disbursements of counsel, financial advisors and accountants, incurred in connection with this Agreement and the transactions contemplated hereby shall be paid by the party incurring such costs and expenses.</w:t>
      </w:r>
    </w:p>
    <w:p>
      <w:pPr>
        <w:spacing w:after="0" w:line="152" w:lineRule="exact"/>
        <w:rPr>
          <w:sz w:val="20"/>
          <w:szCs w:val="20"/>
          <w:color w:val="auto"/>
        </w:rPr>
      </w:pPr>
    </w:p>
    <w:p>
      <w:pPr>
        <w:ind w:right="460" w:firstLine="645"/>
        <w:spacing w:after="0" w:line="291" w:lineRule="auto"/>
        <w:rPr>
          <w:sz w:val="20"/>
          <w:szCs w:val="20"/>
          <w:color w:val="auto"/>
        </w:rPr>
      </w:pPr>
      <w:r>
        <w:rPr>
          <w:rFonts w:ascii="Times New Roman" w:cs="Times New Roman" w:eastAsia="Times New Roman" w:hAnsi="Times New Roman"/>
          <w:sz w:val="21"/>
          <w:szCs w:val="21"/>
          <w:color w:val="auto"/>
        </w:rPr>
        <w:t xml:space="preserve">Section 5.12 </w:t>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xml:space="preserve">. The rules of interpretation set forth in </w:t>
      </w:r>
      <w:r>
        <w:rPr>
          <w:rFonts w:ascii="Times New Roman" w:cs="Times New Roman" w:eastAsia="Times New Roman" w:hAnsi="Times New Roman"/>
          <w:sz w:val="21"/>
          <w:szCs w:val="21"/>
          <w:u w:val="single" w:color="auto"/>
          <w:color w:val="auto"/>
        </w:rPr>
        <w:t>Section 8.12</w:t>
      </w:r>
      <w:r>
        <w:rPr>
          <w:rFonts w:ascii="Times New Roman" w:cs="Times New Roman" w:eastAsia="Times New Roman" w:hAnsi="Times New Roman"/>
          <w:sz w:val="21"/>
          <w:szCs w:val="21"/>
          <w:color w:val="auto"/>
        </w:rPr>
        <w:t xml:space="preserve"> of the Subscription Agreement shall apply to this Agreement,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pages follow</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00"/>
          </w:cols>
          <w:pgMar w:left="320" w:top="1415" w:right="3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Registration Rights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b w:val="1"/>
          <w:bCs w:val="1"/>
          <w:color w:val="auto"/>
        </w:rPr>
        <w:t>COMPANY:</w:t>
      </w:r>
    </w:p>
    <w:p>
      <w:pPr>
        <w:spacing w:after="0" w:line="35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b w:val="1"/>
          <w:bCs w:val="1"/>
          <w:color w:val="auto"/>
        </w:rPr>
        <w:t>JAMES RIVER GROUP HOLDINGS, LTD.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By: /s/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2469515</wp:posOffset>
            </wp:positionH>
            <wp:positionV relativeFrom="paragraph">
              <wp:posOffset>43180</wp:posOffset>
            </wp:positionV>
            <wp:extent cx="431228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9">
                      <a:extLst>
                        <a:ext uri="{28A0092B-C50C-407E-A947-70E740481C1C}"/>
                      </a:extLst>
                    </a:blip>
                    <a:srcRect/>
                    <a:stretch>
                      <a:fillRect/>
                    </a:stretch>
                  </pic:blipFill>
                  <pic:spPr bwMode="auto">
                    <a:xfrm>
                      <a:off x="0" y="0"/>
                      <a:ext cx="4312285" cy="8255"/>
                    </a:xfrm>
                    <a:prstGeom prst="rect">
                      <a:avLst/>
                    </a:prstGeom>
                    <a:noFill/>
                  </pic:spPr>
                </pic:pic>
              </a:graphicData>
            </a:graphic>
          </wp:anchor>
        </w:drawing>
      </w:r>
    </w:p>
    <w:p>
      <w:pPr>
        <w:spacing w:after="0" w:line="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Name: Frank N. D’Orazio</w:t>
      </w:r>
    </w:p>
    <w:p>
      <w:pPr>
        <w:spacing w:after="0" w:line="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b w:val="1"/>
          <w:bCs w:val="1"/>
          <w:color w:val="auto"/>
        </w:rPr>
        <w:t>INVESTOR:</w:t>
      </w:r>
    </w:p>
    <w:p>
      <w:pPr>
        <w:spacing w:after="0" w:line="35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b w:val="1"/>
          <w:bCs w:val="1"/>
          <w:color w:val="auto"/>
        </w:rPr>
        <w:t>CAVELLO BAY REINSURANCE LIMITED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By: /s/ Elizabeth DaSilva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2469515</wp:posOffset>
            </wp:positionH>
            <wp:positionV relativeFrom="paragraph">
              <wp:posOffset>43180</wp:posOffset>
            </wp:positionV>
            <wp:extent cx="431228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0">
                      <a:extLst>
                        <a:ext uri="{28A0092B-C50C-407E-A947-70E740481C1C}"/>
                      </a:extLst>
                    </a:blip>
                    <a:srcRect/>
                    <a:stretch>
                      <a:fillRect/>
                    </a:stretch>
                  </pic:blipFill>
                  <pic:spPr bwMode="auto">
                    <a:xfrm>
                      <a:off x="0" y="0"/>
                      <a:ext cx="4312285" cy="8255"/>
                    </a:xfrm>
                    <a:prstGeom prst="rect">
                      <a:avLst/>
                    </a:prstGeom>
                    <a:noFill/>
                  </pic:spPr>
                </pic:pic>
              </a:graphicData>
            </a:graphic>
          </wp:anchor>
        </w:drawing>
      </w:r>
    </w:p>
    <w:p>
      <w:pPr>
        <w:spacing w:after="0" w:line="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Name: Elizabeth DaSilva</w:t>
      </w:r>
    </w:p>
    <w:p>
      <w:pPr>
        <w:spacing w:after="0" w:line="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Registration Rights Agreement</w:t>
      </w:r>
      <w:r>
        <w:rPr>
          <w:rFonts w:ascii="Times New Roman" w:cs="Times New Roman" w:eastAsia="Times New Roman" w:hAnsi="Times New Roman"/>
          <w:sz w:val="21"/>
          <w:szCs w:val="21"/>
          <w:color w:val="auto"/>
        </w:rPr>
        <w:t>]</w:t>
      </w:r>
    </w:p>
    <w:p>
      <w:pPr>
        <w:sectPr>
          <w:pgSz w:w="11900" w:h="16838" w:orient="portrait"/>
          <w:cols w:equalWidth="0" w:num="1">
            <w:col w:w="10520"/>
          </w:cols>
          <w:pgMar w:left="980" w:top="1415" w:right="399" w:bottom="1440" w:gutter="0" w:footer="0" w:header="0"/>
        </w:sectPr>
      </w:pPr>
    </w:p>
    <w:bookmarkStart w:id="195" w:name="page196"/>
    <w:bookmarkEnd w:id="195"/>
    <w:p>
      <w:pPr>
        <w:jc w:val="center"/>
        <w:ind w:right="-99"/>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Defined Terms</w:t>
      </w:r>
    </w:p>
    <w:p>
      <w:pPr>
        <w:spacing w:after="0" w:line="233" w:lineRule="exact"/>
        <w:rPr>
          <w:sz w:val="20"/>
          <w:szCs w:val="20"/>
          <w:color w:val="auto"/>
        </w:rPr>
      </w:pPr>
    </w:p>
    <w:p>
      <w:pPr>
        <w:ind w:left="660" w:hanging="653"/>
        <w:spacing w:after="0"/>
        <w:tabs>
          <w:tab w:leader="none" w:pos="66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capitalized terms have the meanings indicated:</w:t>
      </w:r>
    </w:p>
    <w:p>
      <w:pPr>
        <w:spacing w:after="0" w:line="242"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Actions</w:t>
      </w:r>
      <w:r>
        <w:rPr>
          <w:rFonts w:ascii="Times New Roman" w:cs="Times New Roman" w:eastAsia="Times New Roman" w:hAnsi="Times New Roman"/>
          <w:sz w:val="21"/>
          <w:szCs w:val="21"/>
          <w:color w:val="auto"/>
        </w:rPr>
        <w:t>” means legal or administrative proceedings, suits, investigations, arbitrations or actions.</w:t>
      </w:r>
    </w:p>
    <w:p>
      <w:pPr>
        <w:spacing w:after="0" w:line="229" w:lineRule="exact"/>
        <w:rPr>
          <w:sz w:val="20"/>
          <w:szCs w:val="20"/>
          <w:color w:val="auto"/>
        </w:rPr>
      </w:pPr>
    </w:p>
    <w:p>
      <w:pPr>
        <w:ind w:right="120" w:firstLine="645"/>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Adverse Disclosure</w:t>
      </w:r>
      <w:r>
        <w:rPr>
          <w:rFonts w:ascii="Times New Roman" w:cs="Times New Roman" w:eastAsia="Times New Roman" w:hAnsi="Times New Roman"/>
          <w:sz w:val="21"/>
          <w:szCs w:val="21"/>
          <w:color w:val="auto"/>
        </w:rPr>
        <w:t>” means public disclosure of material non-public information that, in the good faith judgment of the Company: (i) would be required to be made in any registration statement or report filed with the SEC by the Company so that such registration statement would not contain any untrue statement of material fact or omit to state a material fact necessary in order to make the statements made therein, in light of the circumstances under which they are made, not misleading; (ii) would not be required to be made at such time but for the filing, effectiveness or continued use of such registration statement; and (iii) the Company has a bona fide business purpose for not disclosing publicly.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Affiliates</w:t>
      </w:r>
      <w:r>
        <w:rPr>
          <w:rFonts w:ascii="Times New Roman" w:cs="Times New Roman" w:eastAsia="Times New Roman" w:hAnsi="Times New Roman"/>
          <w:sz w:val="21"/>
          <w:szCs w:val="21"/>
          <w:color w:val="auto"/>
        </w:rPr>
        <w:t>” shall have the meaning given to such term in the Subscription Agreement.</w:t>
      </w:r>
    </w:p>
    <w:p>
      <w:pPr>
        <w:spacing w:after="0" w:line="229" w:lineRule="exact"/>
        <w:rPr>
          <w:sz w:val="20"/>
          <w:szCs w:val="20"/>
          <w:color w:val="auto"/>
        </w:rPr>
      </w:pPr>
    </w:p>
    <w:p>
      <w:pPr>
        <w:ind w:firstLine="645"/>
        <w:spacing w:after="0" w:line="29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Block Trade</w:t>
      </w:r>
      <w:r>
        <w:rPr>
          <w:rFonts w:ascii="Times New Roman" w:cs="Times New Roman" w:eastAsia="Times New Roman" w:hAnsi="Times New Roman"/>
          <w:sz w:val="21"/>
          <w:szCs w:val="21"/>
          <w:color w:val="auto"/>
        </w:rPr>
        <w:t>” means a registered securities offering in which an underwriters agrees to purchase Registrable Securities at an agreed price or utilizing a pricing formula without a prior marketing process.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shall have the meaning given to such term in the Subscription Agreement.</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 Date</w:t>
      </w:r>
      <w:r>
        <w:rPr>
          <w:rFonts w:ascii="Times New Roman" w:cs="Times New Roman" w:eastAsia="Times New Roman" w:hAnsi="Times New Roman"/>
          <w:sz w:val="21"/>
          <w:szCs w:val="21"/>
          <w:color w:val="auto"/>
        </w:rPr>
        <w:t>” shall have the meaning given to such term in the Subscription Agreement.</w:t>
      </w:r>
    </w:p>
    <w:p>
      <w:pPr>
        <w:spacing w:after="0" w:line="229" w:lineRule="exact"/>
        <w:rPr>
          <w:sz w:val="20"/>
          <w:szCs w:val="20"/>
          <w:color w:val="auto"/>
        </w:rPr>
      </w:pPr>
    </w:p>
    <w:p>
      <w:pPr>
        <w:ind w:right="60" w:firstLine="645"/>
        <w:spacing w:after="0" w:line="29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Shares</w:t>
      </w:r>
      <w:r>
        <w:rPr>
          <w:rFonts w:ascii="Times New Roman" w:cs="Times New Roman" w:eastAsia="Times New Roman" w:hAnsi="Times New Roman"/>
          <w:sz w:val="21"/>
          <w:szCs w:val="21"/>
          <w:color w:val="auto"/>
        </w:rPr>
        <w:t>” means all shares currently or hereafter existing of the common shares, par value $0.0002 per share, of the Company.</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Charter Documents</w:t>
      </w:r>
      <w:r>
        <w:rPr>
          <w:rFonts w:ascii="Times New Roman" w:cs="Times New Roman" w:eastAsia="Times New Roman" w:hAnsi="Times New Roman"/>
          <w:sz w:val="21"/>
          <w:szCs w:val="21"/>
          <w:color w:val="auto"/>
        </w:rPr>
        <w:t>” shall have the meaning given to such term in the Subscription Agreement.</w:t>
      </w:r>
    </w:p>
    <w:p>
      <w:pPr>
        <w:spacing w:after="0" w:line="229" w:lineRule="exact"/>
        <w:rPr>
          <w:sz w:val="20"/>
          <w:szCs w:val="20"/>
          <w:color w:val="auto"/>
        </w:rPr>
      </w:pPr>
    </w:p>
    <w:p>
      <w:pPr>
        <w:ind w:right="40" w:firstLine="645"/>
        <w:spacing w:after="0" w:line="30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Securities Exchange Act of 1934, as amended, and any successor statute thereto, and the rules and regulations of the SEC promulgated thereunder.</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FINRA</w:t>
      </w:r>
      <w:r>
        <w:rPr>
          <w:rFonts w:ascii="Times New Roman" w:cs="Times New Roman" w:eastAsia="Times New Roman" w:hAnsi="Times New Roman"/>
          <w:sz w:val="21"/>
          <w:szCs w:val="21"/>
          <w:color w:val="auto"/>
        </w:rPr>
        <w:t>” means the Financial Industry Regulatory Authority, Inc.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Gallatin Point</w:t>
      </w:r>
      <w:r>
        <w:rPr>
          <w:rFonts w:ascii="Times New Roman" w:cs="Times New Roman" w:eastAsia="Times New Roman" w:hAnsi="Times New Roman"/>
          <w:sz w:val="21"/>
          <w:szCs w:val="21"/>
          <w:color w:val="auto"/>
        </w:rPr>
        <w:t>” means GPC Partners Investments (Thames) LP.</w:t>
      </w:r>
    </w:p>
    <w:p>
      <w:pPr>
        <w:spacing w:after="0" w:line="229" w:lineRule="exact"/>
        <w:rPr>
          <w:sz w:val="20"/>
          <w:szCs w:val="20"/>
          <w:color w:val="auto"/>
        </w:rPr>
      </w:pPr>
    </w:p>
    <w:p>
      <w:pPr>
        <w:ind w:right="60" w:firstLine="645"/>
        <w:spacing w:after="0" w:line="29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GP Holder</w:t>
      </w:r>
      <w:r>
        <w:rPr>
          <w:rFonts w:ascii="Times New Roman" w:cs="Times New Roman" w:eastAsia="Times New Roman" w:hAnsi="Times New Roman"/>
          <w:sz w:val="21"/>
          <w:szCs w:val="21"/>
          <w:color w:val="auto"/>
        </w:rPr>
        <w:t>” means Gallatin Point and any Person holding Registrable Securities that has been transferred or assigned rights in accordance with the registration rights agreement, dated as of March 1, 2022, between the Company and Gallatin Point.</w:t>
      </w:r>
    </w:p>
    <w:p>
      <w:pPr>
        <w:spacing w:after="0" w:line="153" w:lineRule="exact"/>
        <w:rPr>
          <w:sz w:val="20"/>
          <w:szCs w:val="20"/>
          <w:color w:val="auto"/>
        </w:rPr>
      </w:pPr>
    </w:p>
    <w:p>
      <w:pPr>
        <w:ind w:right="280" w:firstLine="645"/>
        <w:spacing w:after="0" w:line="29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Holder</w:t>
      </w:r>
      <w:r>
        <w:rPr>
          <w:rFonts w:ascii="Times New Roman" w:cs="Times New Roman" w:eastAsia="Times New Roman" w:hAnsi="Times New Roman"/>
          <w:sz w:val="21"/>
          <w:szCs w:val="21"/>
          <w:color w:val="auto"/>
        </w:rPr>
        <w:t xml:space="preserve">” means the Investor and any Person holding Registrable Securities that has been transferred or assigned rights under this Agreement in accordance with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A-1</w:t>
      </w:r>
    </w:p>
    <w:p>
      <w:pPr>
        <w:sectPr>
          <w:pgSz w:w="11900" w:h="16838" w:orient="portrait"/>
          <w:cols w:equalWidth="0" w:num="1">
            <w:col w:w="11140"/>
          </w:cols>
          <w:pgMar w:left="320" w:top="1411" w:right="439" w:bottom="1440" w:gutter="0" w:footer="0" w:header="0"/>
        </w:sectPr>
      </w:pPr>
    </w:p>
    <w:bookmarkStart w:id="196" w:name="page197"/>
    <w:bookmarkEnd w:id="196"/>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Issuer Free Writing Prospectus</w:t>
      </w:r>
      <w:r>
        <w:rPr>
          <w:rFonts w:ascii="Times New Roman" w:cs="Times New Roman" w:eastAsia="Times New Roman" w:hAnsi="Times New Roman"/>
          <w:sz w:val="21"/>
          <w:szCs w:val="21"/>
          <w:color w:val="auto"/>
        </w:rPr>
        <w:t>” shall have the meaning set forth in Rule 433 of the Securities Act.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Lock-Up Period</w:t>
      </w:r>
      <w:r>
        <w:rPr>
          <w:rFonts w:ascii="Times New Roman" w:cs="Times New Roman" w:eastAsia="Times New Roman" w:hAnsi="Times New Roman"/>
          <w:sz w:val="21"/>
          <w:szCs w:val="21"/>
          <w:color w:val="auto"/>
        </w:rPr>
        <w:t>” shall have the meaning given to such term in the Subscription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Transferee</w:t>
      </w:r>
      <w:r>
        <w:rPr>
          <w:rFonts w:ascii="Times New Roman" w:cs="Times New Roman" w:eastAsia="Times New Roman" w:hAnsi="Times New Roman"/>
          <w:sz w:val="21"/>
          <w:szCs w:val="21"/>
          <w:color w:val="auto"/>
        </w:rPr>
        <w:t>” shall have the meaning given to such term in the Subscription Agreement.</w:t>
      </w:r>
    </w:p>
    <w:p>
      <w:pPr>
        <w:spacing w:after="0" w:line="242" w:lineRule="exact"/>
        <w:rPr>
          <w:sz w:val="20"/>
          <w:szCs w:val="20"/>
          <w:color w:val="auto"/>
        </w:rPr>
      </w:pPr>
    </w:p>
    <w:p>
      <w:pPr>
        <w:ind w:right="240" w:firstLine="645"/>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any individual, corporation, limited liability company, limited or general partnership, joint venture, association, joint-stock company, trust, unincorporated organization, government or any agency or political subdivision thereof, any other form of entity or any group comprised of two or more of the foregoing.</w:t>
      </w:r>
    </w:p>
    <w:p>
      <w:pPr>
        <w:spacing w:after="0" w:line="160" w:lineRule="exact"/>
        <w:rPr>
          <w:sz w:val="20"/>
          <w:szCs w:val="20"/>
          <w:color w:val="auto"/>
        </w:rPr>
      </w:pPr>
    </w:p>
    <w:p>
      <w:pPr>
        <w:ind w:right="80" w:firstLine="645"/>
        <w:spacing w:after="0" w:line="27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registered</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registration</w:t>
      </w:r>
      <w:r>
        <w:rPr>
          <w:rFonts w:ascii="Times New Roman" w:cs="Times New Roman" w:eastAsia="Times New Roman" w:hAnsi="Times New Roman"/>
          <w:sz w:val="21"/>
          <w:szCs w:val="21"/>
          <w:color w:val="auto"/>
        </w:rPr>
        <w:t>” refer to a registration effected by preparing and filing a registration statement in compliance with the Securities Act, and the declaration or ordering of the effectiveness of such registration statement or the automatic effectiveness of such registration statement, as applicable.</w:t>
      </w:r>
    </w:p>
    <w:p>
      <w:pPr>
        <w:spacing w:after="0" w:line="152" w:lineRule="exact"/>
        <w:rPr>
          <w:sz w:val="20"/>
          <w:szCs w:val="20"/>
          <w:color w:val="auto"/>
        </w:rPr>
      </w:pPr>
    </w:p>
    <w:p>
      <w:pPr>
        <w:ind w:firstLine="645"/>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Registrable Securities</w:t>
      </w:r>
      <w:r>
        <w:rPr>
          <w:rFonts w:ascii="Times New Roman" w:cs="Times New Roman" w:eastAsia="Times New Roman" w:hAnsi="Times New Roman"/>
          <w:sz w:val="21"/>
          <w:szCs w:val="21"/>
          <w:color w:val="auto"/>
        </w:rPr>
        <w:t>” means, as of any date of determination, any Common Shares acquired by the Investor pursuant to the Subscription Agreement, any other securities issued or issuable with respect to any such Common Shares by way of share split, share dividend, distribution, recapitalization, merger, amalgamation, scheme of arrangement, exchange, replacement or similar event or otherwise. As to any particular Registrable Securities, once issued, such securities shall cease to be Registrable Securities when (i) such securities are sold or otherwise transferred pursuant to an effective registration statement under the Securities Act, (ii) such securities shall have ceased to be outstanding, (iii) such securities have been sold or otherwise transferred in a transaction in which the Holder’s rights under this Agreement are not assigned to the transferee of the securities, (iv) such securities are sold pursuant to Rule 144 (or other exemption from registration under the Securities Act); and (v) such securities are transferable by a Person (A) who is not an affiliate of the Company pursuant to Rule 144 under the Securities Act and (B) who, collectively with its Affiliates, hold less than 3% of outstanding Common Shares.</w:t>
      </w:r>
    </w:p>
    <w:p>
      <w:pPr>
        <w:spacing w:after="0" w:line="189" w:lineRule="exact"/>
        <w:rPr>
          <w:sz w:val="20"/>
          <w:szCs w:val="20"/>
          <w:color w:val="auto"/>
        </w:rPr>
      </w:pPr>
    </w:p>
    <w:p>
      <w:pPr>
        <w:ind w:right="220" w:firstLine="645"/>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Registration Expenses</w:t>
      </w:r>
      <w:r>
        <w:rPr>
          <w:rFonts w:ascii="Times New Roman" w:cs="Times New Roman" w:eastAsia="Times New Roman" w:hAnsi="Times New Roman"/>
          <w:sz w:val="21"/>
          <w:szCs w:val="21"/>
          <w:color w:val="auto"/>
        </w:rPr>
        <w:t xml:space="preserve">” means all expenses incurred by the Company in complying with </w:t>
      </w:r>
      <w:r>
        <w:rPr>
          <w:rFonts w:ascii="Times New Roman" w:cs="Times New Roman" w:eastAsia="Times New Roman" w:hAnsi="Times New Roman"/>
          <w:sz w:val="21"/>
          <w:szCs w:val="21"/>
          <w:u w:val="single" w:color="auto"/>
          <w:color w:val="auto"/>
        </w:rPr>
        <w:t>Article I</w:t>
      </w:r>
      <w:r>
        <w:rPr>
          <w:rFonts w:ascii="Times New Roman" w:cs="Times New Roman" w:eastAsia="Times New Roman" w:hAnsi="Times New Roman"/>
          <w:sz w:val="21"/>
          <w:szCs w:val="21"/>
          <w:color w:val="auto"/>
        </w:rPr>
        <w:t>, including all registration, qualification, listing and filing fees, printing expenses, escrow fees, fees and disbursements of counsel for the Company and accountants for the Company, fees and expenses in connection with complying with state securities or “blue sky” laws, FINRA fees, fees of transfer agents and registrars, but excluding underwriting discounts and commissions, brokers’ commissions and stock transfer taxes, if any, in each case to the extent applicable to the Registrable Securities of any selling Holders.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Rule 144</w:t>
      </w:r>
      <w:r>
        <w:rPr>
          <w:rFonts w:ascii="Times New Roman" w:cs="Times New Roman" w:eastAsia="Times New Roman" w:hAnsi="Times New Roman"/>
          <w:sz w:val="21"/>
          <w:szCs w:val="21"/>
          <w:color w:val="auto"/>
        </w:rPr>
        <w:t>” means Rule 144 promulgated under the Securities Act and any successor provision.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Rule 462(e)</w:t>
      </w:r>
      <w:r>
        <w:rPr>
          <w:rFonts w:ascii="Times New Roman" w:cs="Times New Roman" w:eastAsia="Times New Roman" w:hAnsi="Times New Roman"/>
          <w:sz w:val="21"/>
          <w:szCs w:val="21"/>
          <w:color w:val="auto"/>
        </w:rPr>
        <w:t>” means Rule 462(e) promulgated under the Securities Act and any successor provision.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means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A-2</w:t>
      </w:r>
    </w:p>
    <w:p>
      <w:pPr>
        <w:sectPr>
          <w:pgSz w:w="11900" w:h="16838" w:orient="portrait"/>
          <w:cols w:equalWidth="0" w:num="1">
            <w:col w:w="11220"/>
          </w:cols>
          <w:pgMar w:left="320" w:top="1415" w:right="359" w:bottom="1440" w:gutter="0" w:footer="0" w:header="0"/>
        </w:sectPr>
      </w:pPr>
    </w:p>
    <w:bookmarkStart w:id="197" w:name="page198"/>
    <w:bookmarkEnd w:id="197"/>
    <w:p>
      <w:pPr>
        <w:ind w:firstLine="645"/>
        <w:spacing w:after="0" w:line="29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means the Securities Act of 1933, as amended, and any successor statute thereto, and the rules and regulations of the SEC promulgated thereunder.</w:t>
      </w:r>
    </w:p>
    <w:p>
      <w:pPr>
        <w:spacing w:after="0" w:line="140" w:lineRule="exact"/>
        <w:rPr>
          <w:sz w:val="20"/>
          <w:szCs w:val="20"/>
          <w:color w:val="auto"/>
        </w:rPr>
      </w:pPr>
    </w:p>
    <w:p>
      <w:pPr>
        <w:ind w:right="140" w:firstLine="645"/>
        <w:spacing w:after="0" w:line="30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Shelf Registration Statement</w:t>
      </w:r>
      <w:r>
        <w:rPr>
          <w:rFonts w:ascii="Times New Roman" w:cs="Times New Roman" w:eastAsia="Times New Roman" w:hAnsi="Times New Roman"/>
          <w:sz w:val="21"/>
          <w:szCs w:val="21"/>
          <w:color w:val="auto"/>
        </w:rPr>
        <w:t>” means the Resale Shelf Registration Statement or a Subsequent Shelf Registration Statement, as applicable.</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 Documents</w:t>
      </w:r>
      <w:r>
        <w:rPr>
          <w:rFonts w:ascii="Times New Roman" w:cs="Times New Roman" w:eastAsia="Times New Roman" w:hAnsi="Times New Roman"/>
          <w:sz w:val="21"/>
          <w:szCs w:val="21"/>
          <w:color w:val="auto"/>
        </w:rPr>
        <w:t>” shall have the meaning given to such term in the Subscription Agreement.</w:t>
      </w:r>
    </w:p>
    <w:p>
      <w:pPr>
        <w:spacing w:after="0" w:line="229" w:lineRule="exact"/>
        <w:rPr>
          <w:sz w:val="20"/>
          <w:szCs w:val="20"/>
          <w:color w:val="auto"/>
        </w:rPr>
      </w:pPr>
    </w:p>
    <w:p>
      <w:pPr>
        <w:ind w:left="660" w:hanging="653"/>
        <w:spacing w:after="0"/>
        <w:tabs>
          <w:tab w:leader="none" w:pos="66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terms are defined in the Sections of the Agreement indicated:</w:t>
      </w:r>
    </w:p>
    <w:p>
      <w:pPr>
        <w:spacing w:after="0" w:line="279" w:lineRule="exact"/>
        <w:rPr>
          <w:sz w:val="20"/>
          <w:szCs w:val="20"/>
          <w:color w:val="auto"/>
        </w:rPr>
      </w:pPr>
    </w:p>
    <w:tbl>
      <w:tblPr>
        <w:tblLayout w:type="fixed"/>
        <w:tblInd w:w="80" w:type="dxa"/>
        <w:tblCellMar>
          <w:top w:w="0" w:type="dxa"/>
          <w:left w:w="0" w:type="dxa"/>
          <w:bottom w:w="0" w:type="dxa"/>
          <w:right w:w="0" w:type="dxa"/>
        </w:tblCellMar>
      </w:tblPr>
      <w:tr>
        <w:trPr>
          <w:trHeight w:val="284"/>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INDEX OF TERMS</w:t>
            </w:r>
          </w:p>
        </w:tc>
        <w:tc>
          <w:tcPr>
            <w:tcW w:w="2260" w:type="dxa"/>
            <w:vAlign w:val="bottom"/>
          </w:tcPr>
          <w:p>
            <w:pPr>
              <w:spacing w:after="0"/>
              <w:rPr>
                <w:sz w:val="24"/>
                <w:szCs w:val="24"/>
                <w:color w:val="auto"/>
              </w:rPr>
            </w:pPr>
          </w:p>
        </w:tc>
      </w:tr>
      <w:tr>
        <w:trPr>
          <w:trHeight w:val="272"/>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Term</w:t>
            </w:r>
          </w:p>
        </w:tc>
        <w:tc>
          <w:tcPr>
            <w:tcW w:w="226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Section</w:t>
            </w:r>
          </w:p>
        </w:tc>
      </w:tr>
      <w:tr>
        <w:trPr>
          <w:trHeight w:val="20"/>
        </w:trPr>
        <w:tc>
          <w:tcPr>
            <w:tcW w:w="44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53"/>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Actions</w:t>
            </w:r>
          </w:p>
        </w:tc>
        <w:tc>
          <w:tcPr>
            <w:tcW w:w="2260" w:type="dxa"/>
            <w:vAlign w:val="bottom"/>
          </w:tcPr>
          <w:p>
            <w:pPr>
              <w:ind w:left="1060"/>
              <w:spacing w:after="0"/>
              <w:rPr>
                <w:sz w:val="20"/>
                <w:szCs w:val="20"/>
                <w:color w:val="auto"/>
              </w:rPr>
            </w:pPr>
            <w:r>
              <w:rPr>
                <w:rFonts w:ascii="Times New Roman" w:cs="Times New Roman" w:eastAsia="Times New Roman" w:hAnsi="Times New Roman"/>
                <w:sz w:val="21"/>
                <w:szCs w:val="21"/>
                <w:color w:val="auto"/>
                <w:w w:val="99"/>
              </w:rPr>
              <w:t>Section 5.6(b)</w:t>
            </w:r>
          </w:p>
        </w:tc>
      </w:tr>
      <w:tr>
        <w:trPr>
          <w:trHeight w:val="417"/>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Agreement</w:t>
            </w:r>
          </w:p>
        </w:tc>
        <w:tc>
          <w:tcPr>
            <w:tcW w:w="226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Preamble</w:t>
            </w:r>
          </w:p>
        </w:tc>
      </w:tr>
      <w:tr>
        <w:trPr>
          <w:trHeight w:val="322"/>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Company</w:t>
            </w:r>
          </w:p>
        </w:tc>
        <w:tc>
          <w:tcPr>
            <w:tcW w:w="226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Preamble</w:t>
            </w:r>
          </w:p>
        </w:tc>
      </w:tr>
      <w:tr>
        <w:trPr>
          <w:trHeight w:val="322"/>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Company Indemnified Parties</w:t>
            </w:r>
          </w:p>
        </w:tc>
        <w:tc>
          <w:tcPr>
            <w:tcW w:w="226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Section 3.1</w:t>
            </w:r>
          </w:p>
        </w:tc>
      </w:tr>
      <w:tr>
        <w:trPr>
          <w:trHeight w:val="417"/>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Effectiveness Period</w:t>
            </w:r>
          </w:p>
        </w:tc>
        <w:tc>
          <w:tcPr>
            <w:tcW w:w="226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Section 1.2(a)</w:t>
            </w:r>
          </w:p>
        </w:tc>
      </w:tr>
      <w:tr>
        <w:trPr>
          <w:trHeight w:val="417"/>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Holder Indemnified Parties</w:t>
            </w:r>
          </w:p>
        </w:tc>
        <w:tc>
          <w:tcPr>
            <w:tcW w:w="226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Section 3.2</w:t>
            </w:r>
          </w:p>
        </w:tc>
      </w:tr>
      <w:tr>
        <w:trPr>
          <w:trHeight w:val="417"/>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Indemnified Party</w:t>
            </w:r>
          </w:p>
        </w:tc>
        <w:tc>
          <w:tcPr>
            <w:tcW w:w="226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Section 3.3</w:t>
            </w:r>
          </w:p>
        </w:tc>
      </w:tr>
      <w:tr>
        <w:trPr>
          <w:trHeight w:val="417"/>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Indemnifying Party</w:t>
            </w:r>
          </w:p>
        </w:tc>
        <w:tc>
          <w:tcPr>
            <w:tcW w:w="226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Section 3.3</w:t>
            </w:r>
          </w:p>
        </w:tc>
      </w:tr>
      <w:tr>
        <w:trPr>
          <w:trHeight w:val="417"/>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Interruption Period</w:t>
            </w:r>
          </w:p>
        </w:tc>
        <w:tc>
          <w:tcPr>
            <w:tcW w:w="2260" w:type="dxa"/>
            <w:vAlign w:val="bottom"/>
          </w:tcPr>
          <w:p>
            <w:pPr>
              <w:ind w:left="1060"/>
              <w:spacing w:after="0"/>
              <w:rPr>
                <w:sz w:val="20"/>
                <w:szCs w:val="20"/>
                <w:color w:val="auto"/>
              </w:rPr>
            </w:pPr>
            <w:r>
              <w:rPr>
                <w:rFonts w:ascii="Times New Roman" w:cs="Times New Roman" w:eastAsia="Times New Roman" w:hAnsi="Times New Roman"/>
                <w:sz w:val="21"/>
                <w:szCs w:val="21"/>
                <w:color w:val="auto"/>
                <w:w w:val="99"/>
              </w:rPr>
              <w:t>Section 2.1(n)</w:t>
            </w:r>
          </w:p>
        </w:tc>
      </w:tr>
      <w:tr>
        <w:trPr>
          <w:trHeight w:val="417"/>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Investor</w:t>
            </w:r>
          </w:p>
        </w:tc>
        <w:tc>
          <w:tcPr>
            <w:tcW w:w="226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Preamble</w:t>
            </w:r>
          </w:p>
        </w:tc>
      </w:tr>
      <w:tr>
        <w:trPr>
          <w:trHeight w:val="322"/>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Losses</w:t>
            </w:r>
          </w:p>
        </w:tc>
        <w:tc>
          <w:tcPr>
            <w:tcW w:w="226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Section 3.1</w:t>
            </w:r>
          </w:p>
        </w:tc>
      </w:tr>
      <w:tr>
        <w:trPr>
          <w:trHeight w:val="417"/>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Offering Persons</w:t>
            </w:r>
          </w:p>
        </w:tc>
        <w:tc>
          <w:tcPr>
            <w:tcW w:w="226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Section 2.1(l)</w:t>
            </w:r>
          </w:p>
        </w:tc>
      </w:tr>
      <w:tr>
        <w:trPr>
          <w:trHeight w:val="417"/>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Piggyback Notice</w:t>
            </w:r>
          </w:p>
        </w:tc>
        <w:tc>
          <w:tcPr>
            <w:tcW w:w="226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Section 1.8(a)</w:t>
            </w:r>
          </w:p>
        </w:tc>
      </w:tr>
      <w:tr>
        <w:trPr>
          <w:trHeight w:val="417"/>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Piggyback Registration Statement</w:t>
            </w:r>
          </w:p>
        </w:tc>
        <w:tc>
          <w:tcPr>
            <w:tcW w:w="226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Section 1.8(a)</w:t>
            </w:r>
          </w:p>
        </w:tc>
      </w:tr>
      <w:tr>
        <w:trPr>
          <w:trHeight w:val="417"/>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Piggyback Request</w:t>
            </w:r>
          </w:p>
        </w:tc>
        <w:tc>
          <w:tcPr>
            <w:tcW w:w="226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Section 1.8(a)</w:t>
            </w:r>
          </w:p>
        </w:tc>
      </w:tr>
      <w:tr>
        <w:trPr>
          <w:trHeight w:val="417"/>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Relevant Matters</w:t>
            </w:r>
          </w:p>
        </w:tc>
        <w:tc>
          <w:tcPr>
            <w:tcW w:w="226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Section 5.6(a)</w:t>
            </w:r>
          </w:p>
        </w:tc>
      </w:tr>
      <w:tr>
        <w:trPr>
          <w:trHeight w:val="322"/>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Requested Information</w:t>
            </w:r>
          </w:p>
        </w:tc>
        <w:tc>
          <w:tcPr>
            <w:tcW w:w="226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Section 2.1(l)</w:t>
            </w:r>
          </w:p>
        </w:tc>
      </w:tr>
      <w:tr>
        <w:trPr>
          <w:trHeight w:val="322"/>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Resale Shelf Registration Statement</w:t>
            </w:r>
          </w:p>
        </w:tc>
        <w:tc>
          <w:tcPr>
            <w:tcW w:w="226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Section 1.1</w:t>
            </w:r>
          </w:p>
        </w:tc>
      </w:tr>
      <w:tr>
        <w:trPr>
          <w:trHeight w:val="417"/>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Shelf Offering</w:t>
            </w:r>
          </w:p>
        </w:tc>
        <w:tc>
          <w:tcPr>
            <w:tcW w:w="226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Section 1.7</w:t>
            </w:r>
          </w:p>
        </w:tc>
      </w:tr>
      <w:tr>
        <w:trPr>
          <w:trHeight w:val="417"/>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Subscription Agreement</w:t>
            </w:r>
          </w:p>
        </w:tc>
        <w:tc>
          <w:tcPr>
            <w:tcW w:w="226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Recitals</w:t>
            </w:r>
          </w:p>
        </w:tc>
      </w:tr>
      <w:tr>
        <w:trPr>
          <w:trHeight w:val="417"/>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Subsequent Shelf Registration Statement</w:t>
            </w:r>
          </w:p>
        </w:tc>
        <w:tc>
          <w:tcPr>
            <w:tcW w:w="226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Section 1.3</w:t>
            </w:r>
          </w:p>
        </w:tc>
      </w:tr>
      <w:tr>
        <w:trPr>
          <w:trHeight w:val="417"/>
        </w:trPr>
        <w:tc>
          <w:tcPr>
            <w:tcW w:w="4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Take-Down Notice</w:t>
            </w:r>
          </w:p>
        </w:tc>
        <w:tc>
          <w:tcPr>
            <w:tcW w:w="226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Section 1.7</w:t>
            </w:r>
          </w:p>
        </w:tc>
      </w:tr>
    </w:tbl>
    <w:p>
      <w:pPr>
        <w:spacing w:after="0" w:line="200" w:lineRule="exact"/>
        <w:rPr>
          <w:sz w:val="20"/>
          <w:szCs w:val="20"/>
          <w:color w:val="auto"/>
        </w:rPr>
      </w:pPr>
    </w:p>
    <w:p>
      <w:pPr>
        <w:sectPr>
          <w:pgSz w:w="11900" w:h="16838" w:orient="portrait"/>
          <w:cols w:equalWidth="0" w:num="1">
            <w:col w:w="10560"/>
          </w:cols>
          <w:pgMar w:left="320" w:top="1416"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A-3</w:t>
      </w:r>
    </w:p>
    <w:p>
      <w:pPr>
        <w:sectPr>
          <w:pgSz w:w="11900" w:h="16838" w:orient="portrait"/>
          <w:cols w:equalWidth="0" w:num="1">
            <w:col w:w="10560"/>
          </w:cols>
          <w:pgMar w:left="320" w:top="1416" w:right="1019" w:bottom="1440" w:gutter="0" w:footer="0" w:header="0"/>
          <w:type w:val="continuous"/>
        </w:sectPr>
      </w:pPr>
    </w:p>
    <w:bookmarkStart w:id="198" w:name="page199"/>
    <w:bookmarkEnd w:id="198"/>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795020</wp:posOffset>
            </wp:positionH>
            <wp:positionV relativeFrom="paragraph">
              <wp:posOffset>442595</wp:posOffset>
            </wp:positionV>
            <wp:extent cx="5323840" cy="417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1">
                      <a:extLst>
                        <a:ext uri="{28A0092B-C50C-407E-A947-70E740481C1C}"/>
                      </a:extLst>
                    </a:blip>
                    <a:srcRect/>
                    <a:stretch>
                      <a:fillRect/>
                    </a:stretch>
                  </pic:blipFill>
                  <pic:spPr bwMode="auto">
                    <a:xfrm>
                      <a:off x="0" y="0"/>
                      <a:ext cx="5323840" cy="41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i w:val="1"/>
          <w:iCs w:val="1"/>
          <w:color w:val="auto"/>
        </w:rPr>
        <w:t>Last Updated October 2024</w:t>
      </w:r>
    </w:p>
    <w:p>
      <w:pPr>
        <w:spacing w:after="0" w:line="2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1"/>
          <w:szCs w:val="21"/>
          <w:b w:val="1"/>
          <w:bCs w:val="1"/>
          <w:color w:val="auto"/>
        </w:rPr>
        <w:t>POLICY ON INSIDER TRADING AND TIPPING</w:t>
      </w:r>
    </w:p>
    <w:p>
      <w:pPr>
        <w:spacing w:after="0" w:line="2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1"/>
          <w:szCs w:val="21"/>
          <w:b w:val="1"/>
          <w:bCs w:val="1"/>
          <w:color w:val="auto"/>
        </w:rPr>
        <w:t>INTRODUCTION</w:t>
      </w:r>
    </w:p>
    <w:p>
      <w:pPr>
        <w:spacing w:after="0" w:line="229" w:lineRule="exact"/>
        <w:rPr>
          <w:sz w:val="20"/>
          <w:szCs w:val="20"/>
          <w:color w:val="auto"/>
        </w:rPr>
      </w:pPr>
    </w:p>
    <w:p>
      <w:pPr>
        <w:jc w:val="both"/>
        <w:ind w:right="200"/>
        <w:spacing w:after="0" w:line="264" w:lineRule="auto"/>
        <w:rPr>
          <w:sz w:val="20"/>
          <w:szCs w:val="20"/>
          <w:color w:val="auto"/>
        </w:rPr>
      </w:pPr>
      <w:r>
        <w:rPr>
          <w:rFonts w:ascii="Times New Roman" w:cs="Times New Roman" w:eastAsia="Times New Roman" w:hAnsi="Times New Roman"/>
          <w:sz w:val="21"/>
          <w:szCs w:val="21"/>
          <w:color w:val="auto"/>
        </w:rPr>
        <w:t>In the normal course of business, officers, directors and employees of James River Group Holdings, Ltd.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its subsidiaries may come into possession of significant, sensitive information. This information is property of the Company; you have been entrusted with it. In particular, you may not seek to profit from it by buying or selling securities yourself, or passing on the information to others to enable them to profit. The purpose of this Policy is both to inform you of your legal responsibilities in this area and to make clear to you that the misuse of sensitive information is contrary to Company policy and will be dealt with severely.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Material Nonpublic Information</w:t>
      </w:r>
    </w:p>
    <w:p>
      <w:pPr>
        <w:spacing w:after="0" w:line="19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21"/>
          <w:szCs w:val="21"/>
          <w:color w:val="auto"/>
        </w:rPr>
        <w:t>What constitutes “material nonpublic information” is described generally below and is defined more specifically with additional examples in Section III of the Policy. Information is “material,” if it is a fact that a reasonable investor would likely consider important when making a decision to buy, hold or sell a security, or would significantly affect the market price of the security. Generally, if you learn something that leads you to want to buy or sell shares, that information will be considered material. It is important to keep in mind that material information need not be certain information. Information that something is likely to happen, or even just that it may happen, can be considered material. For example, if you found out that a prototype of a new product was a success, from which you inferred a new product might be launched successfully, you would probably be in possession of material information. So, too, if you learned that the Company was negotiating to acquire another company, even though there was not yet a firm agreement.</w:t>
      </w:r>
    </w:p>
    <w:p>
      <w:pPr>
        <w:spacing w:after="0" w:line="136" w:lineRule="exact"/>
        <w:rPr>
          <w:sz w:val="20"/>
          <w:szCs w:val="20"/>
          <w:color w:val="auto"/>
        </w:rPr>
      </w:pPr>
    </w:p>
    <w:p>
      <w:pPr>
        <w:jc w:val="both"/>
        <w:ind w:right="200"/>
        <w:spacing w:after="0" w:line="279" w:lineRule="auto"/>
        <w:rPr>
          <w:sz w:val="20"/>
          <w:szCs w:val="20"/>
          <w:color w:val="auto"/>
        </w:rPr>
      </w:pPr>
      <w:r>
        <w:rPr>
          <w:rFonts w:ascii="Times New Roman" w:cs="Times New Roman" w:eastAsia="Times New Roman" w:hAnsi="Times New Roman"/>
          <w:sz w:val="21"/>
          <w:szCs w:val="21"/>
          <w:color w:val="auto"/>
        </w:rPr>
        <w:t>“Nonpublic” information is any information that is not reasonably accessible to the investing public. Once the Company releases information through public channels (for instance, a press release), it may take a few additional days for it to be broadly disseminated.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Insider Trading Laws</w:t>
      </w:r>
    </w:p>
    <w:p>
      <w:pPr>
        <w:spacing w:after="0" w:line="202" w:lineRule="exact"/>
        <w:rPr>
          <w:sz w:val="20"/>
          <w:szCs w:val="20"/>
          <w:color w:val="auto"/>
        </w:rPr>
      </w:pPr>
    </w:p>
    <w:p>
      <w:pPr>
        <w:jc w:val="both"/>
        <w:ind w:right="200"/>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Trading in securities on the basis of material nonpublic information is a crime. </w:t>
      </w:r>
      <w:r>
        <w:rPr>
          <w:rFonts w:ascii="Times New Roman" w:cs="Times New Roman" w:eastAsia="Times New Roman" w:hAnsi="Times New Roman"/>
          <w:sz w:val="21"/>
          <w:szCs w:val="21"/>
          <w:color w:val="auto"/>
        </w:rPr>
        <w:t>A Securities and Exchange Commission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Rule states that trading is “on the basis of” material nonpublic information if you are aware of the material nonpublic information when you purchase or sell securities. Insiders convicted of insider trading are punishable by criminal fines and penalties of up to $5,000,000 and 20 years in jail. In addition, the SEC may seek a civil penalty of up to three times the profits made or losses avoided from the trading. Insiders who trade must also disgorge any profits made and are often subjected to an injunction against future violation. Finally, insiders who trade may be subjected to monetary liability in private lawsuits.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060"/>
          </w:cols>
          <w:pgMar w:left="500" w:top="341" w:right="339" w:bottom="1440" w:gutter="0" w:footer="0" w:header="0"/>
        </w:sectPr>
      </w:pPr>
    </w:p>
    <w:bookmarkStart w:id="199" w:name="page200"/>
    <w:bookmarkEnd w:id="199"/>
    <w:p>
      <w:pPr>
        <w:jc w:val="both"/>
        <w:ind w:right="280"/>
        <w:spacing w:after="0" w:line="270" w:lineRule="auto"/>
        <w:rPr>
          <w:sz w:val="20"/>
          <w:szCs w:val="20"/>
          <w:color w:val="auto"/>
        </w:rPr>
      </w:pPr>
      <w:r>
        <w:rPr>
          <w:rFonts w:ascii="Times New Roman" w:cs="Times New Roman" w:eastAsia="Times New Roman" w:hAnsi="Times New Roman"/>
          <w:sz w:val="21"/>
          <w:szCs w:val="21"/>
          <w:color w:val="auto"/>
        </w:rPr>
        <w:t>Employers and other controlling persons (including supervisory personnel) are also at risk under federal law. Controlling persons may, among other things, face civil penalties of the greater of $1,000,000 or three times the profits made or losses avoided by the trader if they recklessly fail to take preventive steps to control insider trading. Employers and other controlling persons may also be subjected to monetary liability in private lawsuits.</w:t>
      </w:r>
    </w:p>
    <w:p>
      <w:pPr>
        <w:spacing w:after="0" w:line="123" w:lineRule="exact"/>
        <w:rPr>
          <w:sz w:val="20"/>
          <w:szCs w:val="20"/>
          <w:color w:val="auto"/>
        </w:rPr>
      </w:pPr>
    </w:p>
    <w:p>
      <w:pPr>
        <w:jc w:val="both"/>
        <w:ind w:right="280"/>
        <w:spacing w:after="0" w:line="279" w:lineRule="auto"/>
        <w:rPr>
          <w:sz w:val="20"/>
          <w:szCs w:val="20"/>
          <w:color w:val="auto"/>
        </w:rPr>
      </w:pPr>
      <w:r>
        <w:rPr>
          <w:rFonts w:ascii="Times New Roman" w:cs="Times New Roman" w:eastAsia="Times New Roman" w:hAnsi="Times New Roman"/>
          <w:sz w:val="21"/>
          <w:szCs w:val="21"/>
          <w:color w:val="auto"/>
        </w:rPr>
        <w:t>Thus, it is important both to you and the Company that insider trading violations not occur. You should be aware that stock market surveillance techniques are very sophisticated, and the chance that federal authorities will detect and prosecute even small levels of insider trading is a significant one. The risk is simply not worth taking.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Trading and Tipping</w:t>
      </w:r>
    </w:p>
    <w:p>
      <w:pPr>
        <w:spacing w:after="0" w:line="206"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21"/>
          <w:szCs w:val="21"/>
          <w:color w:val="auto"/>
        </w:rPr>
        <w:t>As an officer, director or employee, you may not seek to benefit personally by buying or selling shares while in possession of material nonpublic information that you have learned as a result of your relationship with the Company. This rule applies, of course, to trading in the Company’s own securities. It also applies to trading in the securities of other companies with which the Company is engaged in business or proposed to engage in business if you learn something in the course of your employment or relationship with us that might affect their value. For instance, if you learned that the Company was about to enter into a major contract with ABC Corporation, it would probably be an insider trading violation to buy ABC securities. Even if you learned something about ABC while on a call with ABC, buying or selling ABC stock might well be considered illegal.</w:t>
      </w:r>
    </w:p>
    <w:p>
      <w:pPr>
        <w:spacing w:after="0" w:line="200" w:lineRule="exact"/>
        <w:rPr>
          <w:sz w:val="20"/>
          <w:szCs w:val="20"/>
          <w:color w:val="auto"/>
        </w:rPr>
      </w:pPr>
    </w:p>
    <w:p>
      <w:pPr>
        <w:spacing w:after="0" w:line="20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21"/>
          <w:szCs w:val="21"/>
          <w:color w:val="auto"/>
        </w:rPr>
        <w:t>The insider trading rules apply both to securities purchases (to make a profit based on good news) and securities sales (to avoid a loss or decline in value based on bad news). Keep in mind also that under an SEC regulation, the mere fact that you are aware of material nonpublic information is enough to bar you from trading. It is no excuse that your reasons for trading were not based on that information.</w:t>
      </w:r>
    </w:p>
    <w:p>
      <w:pPr>
        <w:spacing w:after="0" w:line="139" w:lineRule="exact"/>
        <w:rPr>
          <w:sz w:val="20"/>
          <w:szCs w:val="20"/>
          <w:color w:val="auto"/>
        </w:rPr>
      </w:pPr>
    </w:p>
    <w:p>
      <w:pPr>
        <w:jc w:val="both"/>
        <w:ind w:right="240"/>
        <w:spacing w:after="0" w:line="264" w:lineRule="auto"/>
        <w:rPr>
          <w:sz w:val="20"/>
          <w:szCs w:val="20"/>
          <w:color w:val="auto"/>
        </w:rPr>
      </w:pPr>
      <w:r>
        <w:rPr>
          <w:rFonts w:ascii="Times New Roman" w:cs="Times New Roman" w:eastAsia="Times New Roman" w:hAnsi="Times New Roman"/>
          <w:sz w:val="21"/>
          <w:szCs w:val="21"/>
          <w:color w:val="auto"/>
        </w:rPr>
        <w:t>Besides your obligation to refrain from trading while in possession of material nonpublic information, you are also prohibited from “tipping” others. The concept of unlawful tipping includes passing on information to friends, family members or others under circumstances that might permit them to make a profit or avoid a loss. When tipping occurs, both the “tipper” and the “tippee” may be held liable, and this liability may extend to all those to whom the tippee turns around and gives the information. Besides being considered a form of insider trading, of course, tipping is also a serious breach of corporate confidentiality.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Individual Responsibility</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You have ethical and legal obligations to maintain the confidentiality of information about the Company and to not engage in transactions in Company securities while in possession of material nonpublic information. You must not engage in illegal trading and must avoid the appearance of improper trading. You are responsible for making sure that you comply with this Policy, and that any family member, household member or entity whose transactions are subject to this Policy, as discussed below, also comply with this Policy. In all cases, the responsibility for determining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60"/>
          </w:cols>
          <w:pgMar w:left="500" w:top="1012" w:right="339" w:bottom="1440" w:gutter="0" w:footer="0" w:header="0"/>
        </w:sectPr>
      </w:pPr>
    </w:p>
    <w:bookmarkStart w:id="200" w:name="page201"/>
    <w:bookmarkEnd w:id="200"/>
    <w:p>
      <w:pPr>
        <w:jc w:val="both"/>
        <w:spacing w:after="0" w:line="266" w:lineRule="auto"/>
        <w:rPr>
          <w:sz w:val="20"/>
          <w:szCs w:val="20"/>
          <w:color w:val="auto"/>
        </w:rPr>
      </w:pPr>
      <w:r>
        <w:rPr>
          <w:rFonts w:ascii="Times New Roman" w:cs="Times New Roman" w:eastAsia="Times New Roman" w:hAnsi="Times New Roman"/>
          <w:sz w:val="21"/>
          <w:szCs w:val="21"/>
          <w:color w:val="auto"/>
        </w:rPr>
        <w:t>whether you are in possession of material nonpublic information rests with you, and any action on the part of the Company, the Compliance Officer or any other employee or director pursuant to this Policy (or otherwise) does not in any way constitute legal advice or insulate you from liability under applicable securities laws. You could be subject to severe legal penalties and disciplinary action by the Company for any conduct prohibited by this Policy or applicable securities laws, as described above under “Insider Trading Laws”, and in Section V, “Violations” below.</w:t>
      </w:r>
    </w:p>
    <w:p>
      <w:pPr>
        <w:spacing w:after="0" w:line="16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1"/>
          <w:szCs w:val="21"/>
          <w:b w:val="1"/>
          <w:bCs w:val="1"/>
          <w:color w:val="auto"/>
        </w:rPr>
        <w:t>POLICY</w:t>
      </w:r>
    </w:p>
    <w:p>
      <w:pPr>
        <w:spacing w:after="0" w:line="206" w:lineRule="exact"/>
        <w:rPr>
          <w:sz w:val="20"/>
          <w:szCs w:val="20"/>
          <w:color w:val="auto"/>
        </w:rPr>
      </w:pPr>
    </w:p>
    <w:p>
      <w:pPr>
        <w:jc w:val="both"/>
        <w:ind w:right="240"/>
        <w:spacing w:after="0" w:line="263" w:lineRule="auto"/>
        <w:rPr>
          <w:sz w:val="20"/>
          <w:szCs w:val="20"/>
          <w:color w:val="auto"/>
        </w:rPr>
      </w:pPr>
      <w:r>
        <w:rPr>
          <w:rFonts w:ascii="Times New Roman" w:cs="Times New Roman" w:eastAsia="Times New Roman" w:hAnsi="Times New Roman"/>
          <w:sz w:val="21"/>
          <w:szCs w:val="21"/>
          <w:color w:val="auto"/>
        </w:rPr>
        <w:t>It is against Company policy to engage in any prohibited activity under this Policy, as such activities may be considered unlawful trading or tipping under the securities laws, whether in the Company’s securities or the securities of another company with which the Company does business, with information gained as a result of your employment or relationship with the Company. Persons violating this policy will be subject to sanctions by the Company up to and including immediate termination of employment. It is also Company policy that any investing that you do in Company securities be on a “buy and hold” basis. Frequent trading, or short-term speculation, is improper.</w:t>
      </w:r>
    </w:p>
    <w:p>
      <w:pPr>
        <w:spacing w:after="0" w:line="132" w:lineRule="exact"/>
        <w:rPr>
          <w:sz w:val="20"/>
          <w:szCs w:val="20"/>
          <w:color w:val="auto"/>
        </w:rPr>
      </w:pPr>
    </w:p>
    <w:p>
      <w:pPr>
        <w:jc w:val="both"/>
        <w:ind w:right="240"/>
        <w:spacing w:after="0" w:line="291" w:lineRule="auto"/>
        <w:rPr>
          <w:sz w:val="20"/>
          <w:szCs w:val="20"/>
          <w:color w:val="auto"/>
        </w:rPr>
      </w:pPr>
      <w:r>
        <w:rPr>
          <w:rFonts w:ascii="Times New Roman" w:cs="Times New Roman" w:eastAsia="Times New Roman" w:hAnsi="Times New Roman"/>
          <w:sz w:val="21"/>
          <w:szCs w:val="21"/>
          <w:color w:val="auto"/>
        </w:rPr>
        <w:t>It is also the policy of the Company that the Company will not engage in transactions in Company securities while aware of material non-public information relating to the Company.</w:t>
      </w:r>
    </w:p>
    <w:p>
      <w:pPr>
        <w:spacing w:after="0" w:line="109" w:lineRule="exact"/>
        <w:rPr>
          <w:sz w:val="20"/>
          <w:szCs w:val="20"/>
          <w:color w:val="auto"/>
        </w:rPr>
      </w:pPr>
    </w:p>
    <w:p>
      <w:pPr>
        <w:ind w:left="640" w:hanging="632"/>
        <w:spacing w:after="0"/>
        <w:tabs>
          <w:tab w:leader="none" w:pos="640" w:val="left"/>
        </w:tabs>
        <w:numPr>
          <w:ilvl w:val="0"/>
          <w:numId w:val="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Scope</w:t>
      </w:r>
    </w:p>
    <w:p>
      <w:pPr>
        <w:spacing w:after="0" w:line="188" w:lineRule="exact"/>
        <w:rPr>
          <w:rFonts w:ascii="Times New Roman" w:cs="Times New Roman" w:eastAsia="Times New Roman" w:hAnsi="Times New Roman"/>
          <w:sz w:val="21"/>
          <w:szCs w:val="21"/>
          <w:b w:val="1"/>
          <w:bCs w:val="1"/>
          <w:color w:val="auto"/>
        </w:rPr>
      </w:pPr>
    </w:p>
    <w:p>
      <w:pPr>
        <w:ind w:left="1300" w:hanging="647"/>
        <w:spacing w:after="0"/>
        <w:tabs>
          <w:tab w:leader="none" w:pos="1300" w:val="left"/>
        </w:tabs>
        <w:numPr>
          <w:ilvl w:val="1"/>
          <w:numId w:val="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Persons Covered</w:t>
      </w:r>
    </w:p>
    <w:p>
      <w:pPr>
        <w:spacing w:after="0" w:line="205" w:lineRule="exact"/>
        <w:rPr>
          <w:rFonts w:ascii="Times New Roman" w:cs="Times New Roman" w:eastAsia="Times New Roman" w:hAnsi="Times New Roman"/>
          <w:sz w:val="21"/>
          <w:szCs w:val="21"/>
          <w:b w:val="1"/>
          <w:bCs w:val="1"/>
          <w:color w:val="auto"/>
        </w:rPr>
      </w:pPr>
    </w:p>
    <w:p>
      <w:pPr>
        <w:jc w:val="both"/>
        <w:ind w:left="1300" w:right="200"/>
        <w:spacing w:after="0" w:line="259"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This Policy covers all directors, officers and employees (including temporary employees) of the Company and its subsidiaries, their immediate family members and any entities such as trusts, partnerships, or corporations over which they have or share voting or investment control (collectively referred to as “</w:t>
      </w:r>
      <w:r>
        <w:rPr>
          <w:rFonts w:ascii="Times New Roman" w:cs="Times New Roman" w:eastAsia="Times New Roman" w:hAnsi="Times New Roman"/>
          <w:sz w:val="21"/>
          <w:szCs w:val="21"/>
          <w:b w:val="1"/>
          <w:bCs w:val="1"/>
          <w:color w:val="auto"/>
        </w:rPr>
        <w:t>Insiders</w:t>
      </w:r>
      <w:r>
        <w:rPr>
          <w:rFonts w:ascii="Times New Roman" w:cs="Times New Roman" w:eastAsia="Times New Roman" w:hAnsi="Times New Roman"/>
          <w:sz w:val="21"/>
          <w:szCs w:val="21"/>
          <w:color w:val="auto"/>
        </w:rPr>
        <w:t>”). The term “immediate family members” shall mean a director, officer or employee’s spouse, minor children and adult family members residing with them (including a child away at college or stepchildren), other family members who are financially dependent on a director, officer or employee, and any other person whose transactions in the Company’s securities are directed by a director, officer or employee or are subject to their influence or control, such as parents or children who consult with a director, officer or employee before they trade in Company securities. Transactions by immediate family members shall be treated for the purposes of this Policy as if it were for the director’s, officer’s or employee’s own account, and therefore, immediate family members of directors, officers or employees should make their immediate family members aware of the need to confer with them before the immediate family member trades in Company securities. This Policy also applies to observers to the Company’s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as well as outsiders such as consultants and contractors whom the Compliance Officer (as defined below) may designate as Insiders because they have access to material nonpublic information concerning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060"/>
          </w:cols>
          <w:pgMar w:left="500" w:top="1012" w:right="339" w:bottom="1440" w:gutter="0" w:footer="0" w:header="0"/>
        </w:sectPr>
      </w:pPr>
    </w:p>
    <w:bookmarkStart w:id="201" w:name="page202"/>
    <w:bookmarkEnd w:id="201"/>
    <w:p>
      <w:pPr>
        <w:jc w:val="both"/>
        <w:ind w:left="647" w:right="20"/>
        <w:spacing w:after="0" w:line="260" w:lineRule="auto"/>
        <w:rPr>
          <w:sz w:val="20"/>
          <w:szCs w:val="20"/>
          <w:color w:val="auto"/>
        </w:rPr>
      </w:pPr>
      <w:r>
        <w:rPr>
          <w:rFonts w:ascii="Times New Roman" w:cs="Times New Roman" w:eastAsia="Times New Roman" w:hAnsi="Times New Roman"/>
          <w:sz w:val="21"/>
          <w:szCs w:val="21"/>
          <w:color w:val="auto"/>
        </w:rPr>
        <w:t>This Policy shall not apply to any entity that engages in the investment of securities in the ordinary course of its business (e.g., an investment fund or partnership) that has a director representative or observer to the Board if such entity has established its own insider trading controls and procedures in compliance with applicable securities laws and the entity’s director representative on, or observer to, the Board has represented to the Company that such director’s or observer’s affiliated entity: (a) is engaged in the investment of securities in the ordinary course of its business; (b) has established insider trading controls and procedures in compliance with applicable securities laws; and (c) is aware such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134" w:lineRule="exact"/>
        <w:rPr>
          <w:sz w:val="20"/>
          <w:szCs w:val="20"/>
          <w:color w:val="auto"/>
        </w:rPr>
      </w:pPr>
    </w:p>
    <w:p>
      <w:pPr>
        <w:ind w:left="647" w:hanging="647"/>
        <w:spacing w:after="0"/>
        <w:tabs>
          <w:tab w:leader="none" w:pos="647" w:val="left"/>
        </w:tabs>
        <w:numPr>
          <w:ilvl w:val="0"/>
          <w:numId w:val="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Transactions Covered</w:t>
      </w:r>
    </w:p>
    <w:p>
      <w:pPr>
        <w:spacing w:after="0" w:line="205" w:lineRule="exact"/>
        <w:rPr>
          <w:rFonts w:ascii="Times New Roman" w:cs="Times New Roman" w:eastAsia="Times New Roman" w:hAnsi="Times New Roman"/>
          <w:sz w:val="21"/>
          <w:szCs w:val="21"/>
          <w:b w:val="1"/>
          <w:bCs w:val="1"/>
          <w:color w:val="auto"/>
        </w:rPr>
      </w:pPr>
    </w:p>
    <w:p>
      <w:pPr>
        <w:jc w:val="both"/>
        <w:ind w:left="647"/>
        <w:spacing w:after="0" w:line="260"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Policy applies to any and all transactions in the Company’s securities, including its common shares, share options and any other type of securities that the Company may issue from time to time, such as preferred shares, bonds, debentures and warrants, as well as any forms of derivative securities relating to the Company’s shares, whether or not issued by the Company. This Policy also applies to transactions in securities of any other company with which the Company is engaged in business or proposes to engage in business, or a company that the Company engages or proposes to engage in a corporate transaction such as a merger, acquisition, sale, joint venture or similar strategic transaction (any such company, a “</w:t>
      </w:r>
      <w:r>
        <w:rPr>
          <w:rFonts w:ascii="Times New Roman" w:cs="Times New Roman" w:eastAsia="Times New Roman" w:hAnsi="Times New Roman"/>
          <w:sz w:val="21"/>
          <w:szCs w:val="21"/>
          <w:b w:val="1"/>
          <w:bCs w:val="1"/>
          <w:color w:val="auto"/>
        </w:rPr>
        <w:t>Business Partner</w:t>
      </w:r>
      <w:r>
        <w:rPr>
          <w:rFonts w:ascii="Times New Roman" w:cs="Times New Roman" w:eastAsia="Times New Roman" w:hAnsi="Times New Roman"/>
          <w:sz w:val="21"/>
          <w:szCs w:val="21"/>
          <w:color w:val="auto"/>
        </w:rPr>
        <w:t>”), where in the course of working for the Company, the Insider has obtained material nonpublic information with respect to such Business Partner. All Insiders should treat material non-public information that they possess or of which they are aware about the Company’s Business Partners with the same care required with respect to information related directly to the Company.</w:t>
      </w:r>
    </w:p>
    <w:p>
      <w:pPr>
        <w:spacing w:after="0" w:line="128" w:lineRule="exact"/>
        <w:rPr>
          <w:rFonts w:ascii="Times New Roman" w:cs="Times New Roman" w:eastAsia="Times New Roman" w:hAnsi="Times New Roman"/>
          <w:sz w:val="21"/>
          <w:szCs w:val="21"/>
          <w:b w:val="1"/>
          <w:bCs w:val="1"/>
          <w:color w:val="auto"/>
        </w:rPr>
      </w:pPr>
    </w:p>
    <w:p>
      <w:pPr>
        <w:ind w:left="647" w:hanging="647"/>
        <w:spacing w:after="0"/>
        <w:tabs>
          <w:tab w:leader="none" w:pos="647" w:val="left"/>
        </w:tabs>
        <w:numPr>
          <w:ilvl w:val="0"/>
          <w:numId w:val="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Delivery to Covered Persons</w:t>
      </w:r>
    </w:p>
    <w:p>
      <w:pPr>
        <w:spacing w:after="0" w:line="205" w:lineRule="exact"/>
        <w:rPr>
          <w:rFonts w:ascii="Times New Roman" w:cs="Times New Roman" w:eastAsia="Times New Roman" w:hAnsi="Times New Roman"/>
          <w:sz w:val="21"/>
          <w:szCs w:val="21"/>
          <w:b w:val="1"/>
          <w:bCs w:val="1"/>
          <w:color w:val="auto"/>
        </w:rPr>
      </w:pPr>
    </w:p>
    <w:p>
      <w:pPr>
        <w:jc w:val="both"/>
        <w:ind w:left="647" w:right="20"/>
        <w:spacing w:after="0" w:line="272"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Policy is being delivered to all directors, officers, employees and designated outsiders and will be delivered to all new directors, officers, employees and designated outsiders at the start of their employment or relationship with the Company and/or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747"/>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207"/>
          </w:cols>
          <w:pgMar w:left="1153" w:top="1012" w:right="539" w:bottom="1440" w:gutter="0" w:footer="0" w:header="0"/>
        </w:sectPr>
      </w:pPr>
    </w:p>
    <w:bookmarkStart w:id="202" w:name="page203"/>
    <w:bookmarkEnd w:id="202"/>
    <w:p>
      <w:pPr>
        <w:ind w:left="1300" w:hanging="647"/>
        <w:spacing w:after="0"/>
        <w:tabs>
          <w:tab w:leader="none" w:pos="1300" w:val="left"/>
        </w:tabs>
        <w:numPr>
          <w:ilvl w:val="1"/>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Restricted Persons</w:t>
      </w:r>
    </w:p>
    <w:p>
      <w:pPr>
        <w:spacing w:after="0" w:line="205" w:lineRule="exact"/>
        <w:rPr>
          <w:rFonts w:ascii="Times New Roman" w:cs="Times New Roman" w:eastAsia="Times New Roman" w:hAnsi="Times New Roman"/>
          <w:sz w:val="21"/>
          <w:szCs w:val="21"/>
          <w:b w:val="1"/>
          <w:bCs w:val="1"/>
          <w:color w:val="auto"/>
        </w:rPr>
      </w:pPr>
    </w:p>
    <w:p>
      <w:pPr>
        <w:jc w:val="both"/>
        <w:ind w:left="1300" w:right="220"/>
        <w:spacing w:after="0" w:line="259"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Certain Insiders, by virtue of their position(s) with the Company, are presumed to be in possession of, or have ready access to, nonpublic material information (all such persons being referred to as “</w:t>
      </w:r>
      <w:r>
        <w:rPr>
          <w:rFonts w:ascii="Times New Roman" w:cs="Times New Roman" w:eastAsia="Times New Roman" w:hAnsi="Times New Roman"/>
          <w:sz w:val="21"/>
          <w:szCs w:val="21"/>
          <w:b w:val="1"/>
          <w:bCs w:val="1"/>
          <w:color w:val="auto"/>
        </w:rPr>
        <w:t>Restricted Persons</w:t>
      </w:r>
      <w:r>
        <w:rPr>
          <w:rFonts w:ascii="Times New Roman" w:cs="Times New Roman" w:eastAsia="Times New Roman" w:hAnsi="Times New Roman"/>
          <w:sz w:val="21"/>
          <w:szCs w:val="21"/>
          <w:color w:val="auto"/>
        </w:rPr>
        <w:t>”). These persons include all directors and executive officers of the Company and any other Section 16 Individuals (as defined below), finance and accounting employees involved in the preparation of the Company’s financial statements or earnings release, any employees that directly report to the Chief Executive Officer of the Company, Chief Financial Officer of the Company, or President of each of the Company’s segments and any other employees designated by the Compliance Officer (as defined below). The Compliance Officer will maintain a list of Restricted Persons at all times. Additional officers, senior employees and others may be added to the Restricted Persons’ list or removed from the Restricted Persons’ list based upon their position with the Company at such time. The Compliance Officer will notify any such person of their addition to the Restricted Person list or removal therefrom. All Restricted Persons must comply with the pre-approval requirements set forth in Section IV.B prior to trading in or making gifts of the Company’s securities.</w:t>
      </w:r>
    </w:p>
    <w:p>
      <w:pPr>
        <w:spacing w:after="0" w:line="133" w:lineRule="exact"/>
        <w:rPr>
          <w:rFonts w:ascii="Times New Roman" w:cs="Times New Roman" w:eastAsia="Times New Roman" w:hAnsi="Times New Roman"/>
          <w:sz w:val="21"/>
          <w:szCs w:val="21"/>
          <w:b w:val="1"/>
          <w:bCs w:val="1"/>
          <w:color w:val="auto"/>
        </w:rPr>
      </w:pPr>
    </w:p>
    <w:p>
      <w:pPr>
        <w:ind w:left="1300" w:hanging="647"/>
        <w:spacing w:after="0"/>
        <w:tabs>
          <w:tab w:leader="none" w:pos="1300" w:val="left"/>
        </w:tabs>
        <w:numPr>
          <w:ilvl w:val="1"/>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Section 16 Individuals</w:t>
      </w:r>
    </w:p>
    <w:p>
      <w:pPr>
        <w:spacing w:after="0" w:line="201" w:lineRule="exact"/>
        <w:rPr>
          <w:rFonts w:ascii="Times New Roman" w:cs="Times New Roman" w:eastAsia="Times New Roman" w:hAnsi="Times New Roman"/>
          <w:sz w:val="21"/>
          <w:szCs w:val="21"/>
          <w:b w:val="1"/>
          <w:bCs w:val="1"/>
          <w:color w:val="auto"/>
        </w:rPr>
      </w:pPr>
    </w:p>
    <w:p>
      <w:pPr>
        <w:jc w:val="both"/>
        <w:ind w:left="1300" w:right="200"/>
        <w:spacing w:after="0" w:line="267"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Directors and officers who are subject to Section 16 of the Securities Exchange Act of 1934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by virtue of their position(s) with the Company are subject to additional limitations on trading under Section 16 (all such persons being referred to as “</w:t>
      </w:r>
      <w:r>
        <w:rPr>
          <w:rFonts w:ascii="Times New Roman" w:cs="Times New Roman" w:eastAsia="Times New Roman" w:hAnsi="Times New Roman"/>
          <w:sz w:val="21"/>
          <w:szCs w:val="21"/>
          <w:b w:val="1"/>
          <w:bCs w:val="1"/>
          <w:color w:val="auto"/>
        </w:rPr>
        <w:t>Section 16 Individuals</w:t>
      </w:r>
      <w:r>
        <w:rPr>
          <w:rFonts w:ascii="Times New Roman" w:cs="Times New Roman" w:eastAsia="Times New Roman" w:hAnsi="Times New Roman"/>
          <w:sz w:val="21"/>
          <w:szCs w:val="21"/>
          <w:color w:val="auto"/>
        </w:rPr>
        <w:t>”). Section 16 Individuals must comply with the Section 16 restrictions in addition to the Trading Policies and Procedures of Section IV below (including the trading pre-approval requirements applicable to Restricted Persons).</w:t>
      </w:r>
    </w:p>
    <w:p>
      <w:pPr>
        <w:spacing w:after="0" w:line="121" w:lineRule="exact"/>
        <w:rPr>
          <w:rFonts w:ascii="Times New Roman" w:cs="Times New Roman" w:eastAsia="Times New Roman" w:hAnsi="Times New Roman"/>
          <w:sz w:val="21"/>
          <w:szCs w:val="21"/>
          <w:b w:val="1"/>
          <w:bCs w:val="1"/>
          <w:color w:val="auto"/>
        </w:rPr>
      </w:pPr>
    </w:p>
    <w:p>
      <w:pPr>
        <w:ind w:left="640" w:hanging="632"/>
        <w:spacing w:after="0"/>
        <w:tabs>
          <w:tab w:leader="none" w:pos="640" w:val="left"/>
        </w:tabs>
        <w:numPr>
          <w:ilvl w:val="0"/>
          <w:numId w:val="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Insider Trading Compliance Officer</w:t>
      </w:r>
    </w:p>
    <w:p>
      <w:pPr>
        <w:spacing w:after="0" w:line="206" w:lineRule="exact"/>
        <w:rPr>
          <w:sz w:val="20"/>
          <w:szCs w:val="20"/>
          <w:color w:val="auto"/>
        </w:rPr>
      </w:pPr>
    </w:p>
    <w:p>
      <w:pPr>
        <w:jc w:val="both"/>
        <w:ind w:right="400"/>
        <w:spacing w:after="0" w:line="263" w:lineRule="auto"/>
        <w:rPr>
          <w:sz w:val="20"/>
          <w:szCs w:val="20"/>
          <w:color w:val="auto"/>
        </w:rPr>
      </w:pPr>
      <w:r>
        <w:rPr>
          <w:rFonts w:ascii="Times New Roman" w:cs="Times New Roman" w:eastAsia="Times New Roman" w:hAnsi="Times New Roman"/>
          <w:sz w:val="21"/>
          <w:szCs w:val="21"/>
          <w:color w:val="auto"/>
        </w:rPr>
        <w:t>The Company has designated the Chief Legal Officer and Chief Financial Officer of the Company as its Insider Trading Compliance Officer (the “</w:t>
      </w:r>
      <w:r>
        <w:rPr>
          <w:rFonts w:ascii="Times New Roman" w:cs="Times New Roman" w:eastAsia="Times New Roman" w:hAnsi="Times New Roman"/>
          <w:sz w:val="21"/>
          <w:szCs w:val="21"/>
          <w:b w:val="1"/>
          <w:bCs w:val="1"/>
          <w:color w:val="auto"/>
        </w:rPr>
        <w:t>Compliance Officer</w:t>
      </w:r>
      <w:r>
        <w:rPr>
          <w:rFonts w:ascii="Times New Roman" w:cs="Times New Roman" w:eastAsia="Times New Roman" w:hAnsi="Times New Roman"/>
          <w:sz w:val="21"/>
          <w:szCs w:val="21"/>
          <w:color w:val="auto"/>
        </w:rPr>
        <w:t xml:space="preserve">”). The Compliance Officer will review and either approve or prohibit proposed trades or transfers by Restricted Persons. Restricted Persons should submit the Form attached as </w:t>
      </w:r>
      <w:r>
        <w:rPr>
          <w:rFonts w:ascii="Times New Roman" w:cs="Times New Roman" w:eastAsia="Times New Roman" w:hAnsi="Times New Roman"/>
          <w:sz w:val="21"/>
          <w:szCs w:val="21"/>
          <w:u w:val="single" w:color="auto"/>
          <w:color w:val="auto"/>
        </w:rPr>
        <w:t>Attachment A</w:t>
      </w:r>
      <w:r>
        <w:rPr>
          <w:rFonts w:ascii="Times New Roman" w:cs="Times New Roman" w:eastAsia="Times New Roman" w:hAnsi="Times New Roman"/>
          <w:sz w:val="21"/>
          <w:szCs w:val="21"/>
          <w:color w:val="auto"/>
        </w:rPr>
        <w:t xml:space="preserve"> for approval of any proposed trades or transfers at least one business day prior to their intended trade date. Additionally, any Insider proposing to enter into a 10b5-1 Plan (as defined in Section IV.C) shall submit the plan to the Compliance Officer for approval in accordance with the procedures set forth in Section IV.C.</w:t>
      </w:r>
    </w:p>
    <w:p>
      <w:pPr>
        <w:spacing w:after="0" w:line="13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Proposed transactions by a Compliance Officer shall be subject to the approval of the Company’s Chief Executive Officer. The Chief Executive Officer may designate one or more individuals who may perform the Compliance Officer’s duties in the event that the Compliance Officer is unable or unavailable to perform such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060"/>
          </w:cols>
          <w:pgMar w:left="500" w:top="1008" w:right="339" w:bottom="1440" w:gutter="0" w:footer="0" w:header="0"/>
        </w:sectPr>
      </w:pPr>
    </w:p>
    <w:bookmarkStart w:id="203" w:name="page204"/>
    <w:bookmarkEnd w:id="203"/>
    <w:p>
      <w:pPr>
        <w:ind w:left="640" w:hanging="632"/>
        <w:spacing w:after="0"/>
        <w:tabs>
          <w:tab w:leader="none" w:pos="640" w:val="left"/>
        </w:tabs>
        <w:numPr>
          <w:ilvl w:val="0"/>
          <w:numId w:val="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 of “Material Nonpublic Information”</w:t>
      </w:r>
    </w:p>
    <w:p>
      <w:pPr>
        <w:spacing w:after="0" w:line="201" w:lineRule="exact"/>
        <w:rPr>
          <w:rFonts w:ascii="Times New Roman" w:cs="Times New Roman" w:eastAsia="Times New Roman" w:hAnsi="Times New Roman"/>
          <w:sz w:val="21"/>
          <w:szCs w:val="21"/>
          <w:b w:val="1"/>
          <w:bCs w:val="1"/>
          <w:color w:val="auto"/>
        </w:rPr>
      </w:pPr>
    </w:p>
    <w:p>
      <w:pPr>
        <w:ind w:left="1300" w:hanging="647"/>
        <w:spacing w:after="0"/>
        <w:tabs>
          <w:tab w:leader="none" w:pos="1300" w:val="left"/>
        </w:tabs>
        <w:numPr>
          <w:ilvl w:val="1"/>
          <w:numId w:val="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“Material” Information</w:t>
      </w:r>
    </w:p>
    <w:p>
      <w:pPr>
        <w:spacing w:after="0" w:line="192" w:lineRule="exact"/>
        <w:rPr>
          <w:rFonts w:ascii="Times New Roman" w:cs="Times New Roman" w:eastAsia="Times New Roman" w:hAnsi="Times New Roman"/>
          <w:sz w:val="21"/>
          <w:szCs w:val="21"/>
          <w:b w:val="1"/>
          <w:bCs w:val="1"/>
          <w:color w:val="auto"/>
        </w:rPr>
      </w:pPr>
    </w:p>
    <w:p>
      <w:pPr>
        <w:jc w:val="both"/>
        <w:ind w:left="1300" w:right="200"/>
        <w:spacing w:after="0" w:line="261"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Information about the Company is “material” if it would be expected to affect the investment or voting decisions of a reasonable shareholder or investor, or if the disclosure of the information could reasonably be expected to significantly alter the total mix of the information in the marketplace about the Company. In simple terms, material information is any type of information which could reasonably be expected to affect the price of Company securities. There is no bright-line standard for assessing materiality; rather, materiality is based on an assessment of all of the facts and circumstances, and is often evaluated by enforcement authorities with the benefit of hindsight. While it is not possible to identify all information that would be deemed “material,” the following types of information, whether originating from the holding company or a subsidiary, ordinarily would be considered material:</w:t>
      </w:r>
    </w:p>
    <w:p>
      <w:pPr>
        <w:spacing w:after="0" w:line="135" w:lineRule="exact"/>
        <w:rPr>
          <w:rFonts w:ascii="Times New Roman" w:cs="Times New Roman" w:eastAsia="Times New Roman" w:hAnsi="Times New Roman"/>
          <w:sz w:val="21"/>
          <w:szCs w:val="21"/>
          <w:b w:val="1"/>
          <w:bCs w:val="1"/>
          <w:color w:val="auto"/>
        </w:rPr>
      </w:pPr>
    </w:p>
    <w:p>
      <w:pPr>
        <w:ind w:left="1940" w:right="560" w:hanging="642"/>
        <w:spacing w:after="0" w:line="291" w:lineRule="auto"/>
        <w:tabs>
          <w:tab w:leader="none" w:pos="1934" w:val="left"/>
        </w:tabs>
        <w:numPr>
          <w:ilvl w:val="2"/>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Financial performance, especially quarterly and year-end earnings, and significant changes in financial performance or liquidity.</w:t>
      </w:r>
    </w:p>
    <w:p>
      <w:pPr>
        <w:spacing w:after="0" w:line="45" w:lineRule="exact"/>
        <w:rPr>
          <w:rFonts w:ascii="Times New Roman" w:cs="Times New Roman" w:eastAsia="Times New Roman" w:hAnsi="Times New Roman"/>
          <w:sz w:val="21"/>
          <w:szCs w:val="21"/>
          <w:color w:val="auto"/>
        </w:rPr>
      </w:pPr>
    </w:p>
    <w:p>
      <w:pPr>
        <w:ind w:left="1940" w:hanging="642"/>
        <w:spacing w:after="0"/>
        <w:tabs>
          <w:tab w:leader="none" w:pos="1940" w:val="left"/>
        </w:tabs>
        <w:numPr>
          <w:ilvl w:val="2"/>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projections and strategic plans.</w:t>
      </w:r>
    </w:p>
    <w:p>
      <w:pPr>
        <w:spacing w:after="0" w:line="121" w:lineRule="exact"/>
        <w:rPr>
          <w:rFonts w:ascii="Times New Roman" w:cs="Times New Roman" w:eastAsia="Times New Roman" w:hAnsi="Times New Roman"/>
          <w:sz w:val="21"/>
          <w:szCs w:val="21"/>
          <w:color w:val="auto"/>
        </w:rPr>
      </w:pPr>
    </w:p>
    <w:p>
      <w:pPr>
        <w:ind w:left="1940" w:right="480" w:hanging="642"/>
        <w:spacing w:after="0" w:line="291" w:lineRule="auto"/>
        <w:tabs>
          <w:tab w:leader="none" w:pos="1934" w:val="left"/>
        </w:tabs>
        <w:numPr>
          <w:ilvl w:val="2"/>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Potential mergers and acquisitions or the sale of Company or subsidiary assets, including in connection with any exploration of the Company’s strategic alternatives.</w:t>
      </w:r>
    </w:p>
    <w:p>
      <w:pPr>
        <w:spacing w:after="0" w:line="32" w:lineRule="exact"/>
        <w:rPr>
          <w:rFonts w:ascii="Times New Roman" w:cs="Times New Roman" w:eastAsia="Times New Roman" w:hAnsi="Times New Roman"/>
          <w:sz w:val="21"/>
          <w:szCs w:val="21"/>
          <w:color w:val="auto"/>
        </w:rPr>
      </w:pPr>
    </w:p>
    <w:p>
      <w:pPr>
        <w:ind w:left="1940" w:hanging="642"/>
        <w:spacing w:after="0"/>
        <w:tabs>
          <w:tab w:leader="none" w:pos="1940" w:val="left"/>
        </w:tabs>
        <w:numPr>
          <w:ilvl w:val="2"/>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changes or developments in products or product lines.</w:t>
      </w:r>
    </w:p>
    <w:p>
      <w:pPr>
        <w:spacing w:after="0" w:line="121" w:lineRule="exact"/>
        <w:rPr>
          <w:rFonts w:ascii="Times New Roman" w:cs="Times New Roman" w:eastAsia="Times New Roman" w:hAnsi="Times New Roman"/>
          <w:sz w:val="21"/>
          <w:szCs w:val="21"/>
          <w:color w:val="auto"/>
        </w:rPr>
      </w:pPr>
    </w:p>
    <w:p>
      <w:pPr>
        <w:ind w:left="1940" w:hanging="642"/>
        <w:spacing w:after="0"/>
        <w:tabs>
          <w:tab w:leader="none" w:pos="1940" w:val="left"/>
        </w:tabs>
        <w:numPr>
          <w:ilvl w:val="2"/>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losses or adverse development under our insurance policies.</w:t>
      </w:r>
    </w:p>
    <w:p>
      <w:pPr>
        <w:spacing w:after="0" w:line="134" w:lineRule="exact"/>
        <w:rPr>
          <w:rFonts w:ascii="Times New Roman" w:cs="Times New Roman" w:eastAsia="Times New Roman" w:hAnsi="Times New Roman"/>
          <w:sz w:val="21"/>
          <w:szCs w:val="21"/>
          <w:color w:val="auto"/>
        </w:rPr>
      </w:pPr>
    </w:p>
    <w:p>
      <w:pPr>
        <w:ind w:left="1940" w:hanging="642"/>
        <w:spacing w:after="0"/>
        <w:tabs>
          <w:tab w:leader="none" w:pos="1940" w:val="left"/>
        </w:tabs>
        <w:numPr>
          <w:ilvl w:val="2"/>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Addition or loss of a material broker or agent.</w:t>
      </w:r>
    </w:p>
    <w:p>
      <w:pPr>
        <w:spacing w:after="0" w:line="121" w:lineRule="exact"/>
        <w:rPr>
          <w:rFonts w:ascii="Times New Roman" w:cs="Times New Roman" w:eastAsia="Times New Roman" w:hAnsi="Times New Roman"/>
          <w:sz w:val="21"/>
          <w:szCs w:val="21"/>
          <w:color w:val="auto"/>
        </w:rPr>
      </w:pPr>
    </w:p>
    <w:p>
      <w:pPr>
        <w:ind w:left="1940" w:hanging="642"/>
        <w:spacing w:after="0"/>
        <w:tabs>
          <w:tab w:leader="none" w:pos="1940" w:val="left"/>
        </w:tabs>
        <w:numPr>
          <w:ilvl w:val="2"/>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Actual or threatened major litigation or government investigations, or the resolution of the same.</w:t>
      </w:r>
    </w:p>
    <w:p>
      <w:pPr>
        <w:spacing w:after="0" w:line="121" w:lineRule="exact"/>
        <w:rPr>
          <w:rFonts w:ascii="Times New Roman" w:cs="Times New Roman" w:eastAsia="Times New Roman" w:hAnsi="Times New Roman"/>
          <w:sz w:val="21"/>
          <w:szCs w:val="21"/>
          <w:color w:val="auto"/>
        </w:rPr>
      </w:pPr>
    </w:p>
    <w:p>
      <w:pPr>
        <w:ind w:left="1940" w:right="760" w:hanging="642"/>
        <w:spacing w:after="0" w:line="291" w:lineRule="auto"/>
        <w:tabs>
          <w:tab w:leader="none" w:pos="1934" w:val="left"/>
        </w:tabs>
        <w:numPr>
          <w:ilvl w:val="2"/>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 splits, public or private securities/debt offerings, or changes in Company dividend policies or amounts.</w:t>
      </w:r>
    </w:p>
    <w:p>
      <w:pPr>
        <w:spacing w:after="0" w:line="32" w:lineRule="exact"/>
        <w:rPr>
          <w:rFonts w:ascii="Times New Roman" w:cs="Times New Roman" w:eastAsia="Times New Roman" w:hAnsi="Times New Roman"/>
          <w:sz w:val="21"/>
          <w:szCs w:val="21"/>
          <w:color w:val="auto"/>
        </w:rPr>
      </w:pPr>
    </w:p>
    <w:p>
      <w:pPr>
        <w:ind w:left="1940" w:hanging="642"/>
        <w:spacing w:after="0"/>
        <w:tabs>
          <w:tab w:leader="none" w:pos="1940" w:val="left"/>
        </w:tabs>
        <w:numPr>
          <w:ilvl w:val="2"/>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Purchases or redemptions of the Company’s own securities.</w:t>
      </w:r>
    </w:p>
    <w:p>
      <w:pPr>
        <w:spacing w:after="0" w:line="134" w:lineRule="exact"/>
        <w:rPr>
          <w:rFonts w:ascii="Times New Roman" w:cs="Times New Roman" w:eastAsia="Times New Roman" w:hAnsi="Times New Roman"/>
          <w:sz w:val="21"/>
          <w:szCs w:val="21"/>
          <w:color w:val="auto"/>
        </w:rPr>
      </w:pPr>
    </w:p>
    <w:p>
      <w:pPr>
        <w:ind w:left="1940" w:hanging="642"/>
        <w:spacing w:after="0"/>
        <w:tabs>
          <w:tab w:leader="none" w:pos="1940" w:val="left"/>
        </w:tabs>
        <w:numPr>
          <w:ilvl w:val="2"/>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changes in senior management.</w:t>
      </w:r>
    </w:p>
    <w:p>
      <w:pPr>
        <w:spacing w:after="0" w:line="121" w:lineRule="exact"/>
        <w:rPr>
          <w:rFonts w:ascii="Times New Roman" w:cs="Times New Roman" w:eastAsia="Times New Roman" w:hAnsi="Times New Roman"/>
          <w:sz w:val="21"/>
          <w:szCs w:val="21"/>
          <w:color w:val="auto"/>
        </w:rPr>
      </w:pPr>
    </w:p>
    <w:p>
      <w:pPr>
        <w:ind w:left="1940" w:hanging="642"/>
        <w:spacing w:after="0"/>
        <w:tabs>
          <w:tab w:leader="none" w:pos="1940" w:val="left"/>
        </w:tabs>
        <w:numPr>
          <w:ilvl w:val="2"/>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significant cybersecurity incident.</w:t>
      </w:r>
    </w:p>
    <w:p>
      <w:pPr>
        <w:spacing w:after="0" w:line="121" w:lineRule="exact"/>
        <w:rPr>
          <w:rFonts w:ascii="Times New Roman" w:cs="Times New Roman" w:eastAsia="Times New Roman" w:hAnsi="Times New Roman"/>
          <w:sz w:val="21"/>
          <w:szCs w:val="21"/>
          <w:color w:val="auto"/>
        </w:rPr>
      </w:pPr>
    </w:p>
    <w:p>
      <w:pPr>
        <w:ind w:left="1940" w:hanging="642"/>
        <w:spacing w:after="0" w:line="291" w:lineRule="auto"/>
        <w:tabs>
          <w:tab w:leader="none" w:pos="1934" w:val="left"/>
        </w:tabs>
        <w:numPr>
          <w:ilvl w:val="2"/>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imposition of an event-specific restriction on trading in Company securities or the extension or termination of such restriction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060"/>
          </w:cols>
          <w:pgMar w:left="500" w:top="1008" w:right="339" w:bottom="1440" w:gutter="0" w:footer="0" w:header="0"/>
        </w:sectPr>
      </w:pPr>
    </w:p>
    <w:bookmarkStart w:id="204" w:name="page205"/>
    <w:bookmarkEnd w:id="204"/>
    <w:p>
      <w:pPr>
        <w:ind w:left="1300" w:hanging="647"/>
        <w:spacing w:after="0"/>
        <w:tabs>
          <w:tab w:leader="none" w:pos="1300" w:val="left"/>
        </w:tabs>
        <w:numPr>
          <w:ilvl w:val="0"/>
          <w:numId w:val="8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“Nonpublic” Information</w:t>
      </w:r>
    </w:p>
    <w:p>
      <w:pPr>
        <w:spacing w:after="0" w:line="205" w:lineRule="exact"/>
        <w:rPr>
          <w:rFonts w:ascii="Times New Roman" w:cs="Times New Roman" w:eastAsia="Times New Roman" w:hAnsi="Times New Roman"/>
          <w:sz w:val="21"/>
          <w:szCs w:val="21"/>
          <w:b w:val="1"/>
          <w:bCs w:val="1"/>
          <w:color w:val="auto"/>
        </w:rPr>
      </w:pPr>
    </w:p>
    <w:p>
      <w:pPr>
        <w:jc w:val="both"/>
        <w:ind w:left="1300"/>
        <w:spacing w:after="0" w:line="263"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Material information is “nonpublic” if it has not been widely disseminated by the Company to the public through major newswire services, national news services, financial news services or a filing with the Securities and Exchange Commission. For the purposes of this Policy, information will be considered public,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no longer “nonpublic,” after the expiration of forty-eight hours following the Company’s first widespread public release of the information. Announcements by a party in a transaction with the Company, rumors or other unofficial statements in the press or marketplace do not constitute public disclosure.</w:t>
      </w:r>
    </w:p>
    <w:p>
      <w:pPr>
        <w:spacing w:after="0" w:line="128" w:lineRule="exact"/>
        <w:rPr>
          <w:rFonts w:ascii="Times New Roman" w:cs="Times New Roman" w:eastAsia="Times New Roman" w:hAnsi="Times New Roman"/>
          <w:sz w:val="21"/>
          <w:szCs w:val="21"/>
          <w:b w:val="1"/>
          <w:bCs w:val="1"/>
          <w:color w:val="auto"/>
        </w:rPr>
      </w:pPr>
    </w:p>
    <w:p>
      <w:pPr>
        <w:ind w:left="1300" w:hanging="647"/>
        <w:spacing w:after="0"/>
        <w:tabs>
          <w:tab w:leader="none" w:pos="1300" w:val="left"/>
        </w:tabs>
        <w:numPr>
          <w:ilvl w:val="0"/>
          <w:numId w:val="8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Consult the Compliance Officer for Guidance</w:t>
      </w:r>
    </w:p>
    <w:p>
      <w:pPr>
        <w:spacing w:after="0" w:line="20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21"/>
          <w:szCs w:val="21"/>
          <w:color w:val="auto"/>
        </w:rPr>
        <w:t>Any Insiders who are unsure whether the information that they possess is material or nonpublic must consult the Compliance Officer for guidance before trading in any Company securities. Additionally, any Insider that is unsure whether they are also a Restricted Person subject to the trading pre-approval requirements set forth in Section IV.B., should consult the Compliance Officer.</w:t>
      </w:r>
    </w:p>
    <w:p>
      <w:pPr>
        <w:spacing w:after="0" w:line="13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1"/>
          <w:szCs w:val="21"/>
          <w:b w:val="1"/>
          <w:bCs w:val="1"/>
          <w:color w:val="auto"/>
        </w:rPr>
        <w:t>IV.</w:t>
      </w:r>
      <w:r>
        <w:rPr>
          <w:sz w:val="20"/>
          <w:szCs w:val="20"/>
          <w:color w:val="auto"/>
        </w:rPr>
        <w:tab/>
      </w:r>
      <w:r>
        <w:rPr>
          <w:rFonts w:ascii="Times New Roman" w:cs="Times New Roman" w:eastAsia="Times New Roman" w:hAnsi="Times New Roman"/>
          <w:sz w:val="21"/>
          <w:szCs w:val="21"/>
          <w:b w:val="1"/>
          <w:bCs w:val="1"/>
          <w:color w:val="auto"/>
        </w:rPr>
        <w:t>Trading Policy and Procedures</w:t>
      </w:r>
    </w:p>
    <w:p>
      <w:pPr>
        <w:spacing w:after="0" w:line="188" w:lineRule="exact"/>
        <w:rPr>
          <w:sz w:val="20"/>
          <w:szCs w:val="20"/>
          <w:color w:val="auto"/>
        </w:rPr>
      </w:pPr>
    </w:p>
    <w:p>
      <w:pPr>
        <w:ind w:left="1300" w:hanging="647"/>
        <w:spacing w:after="0"/>
        <w:tabs>
          <w:tab w:leader="none" w:pos="1300" w:val="left"/>
        </w:tabs>
        <w:numPr>
          <w:ilvl w:val="0"/>
          <w:numId w:val="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Prohibited Activities</w:t>
      </w:r>
    </w:p>
    <w:p>
      <w:pPr>
        <w:spacing w:after="0" w:line="205" w:lineRule="exact"/>
        <w:rPr>
          <w:rFonts w:ascii="Times New Roman" w:cs="Times New Roman" w:eastAsia="Times New Roman" w:hAnsi="Times New Roman"/>
          <w:sz w:val="21"/>
          <w:szCs w:val="21"/>
          <w:b w:val="1"/>
          <w:bCs w:val="1"/>
          <w:color w:val="auto"/>
        </w:rPr>
      </w:pPr>
    </w:p>
    <w:p>
      <w:pPr>
        <w:ind w:left="130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Except as permitted under Section IV.C below:</w:t>
      </w:r>
    </w:p>
    <w:p>
      <w:pPr>
        <w:spacing w:after="0" w:line="188" w:lineRule="exact"/>
        <w:rPr>
          <w:rFonts w:ascii="Times New Roman" w:cs="Times New Roman" w:eastAsia="Times New Roman" w:hAnsi="Times New Roman"/>
          <w:sz w:val="21"/>
          <w:szCs w:val="21"/>
          <w:b w:val="1"/>
          <w:bCs w:val="1"/>
          <w:color w:val="auto"/>
        </w:rPr>
      </w:pPr>
    </w:p>
    <w:p>
      <w:pPr>
        <w:jc w:val="both"/>
        <w:ind w:left="2260" w:hanging="317"/>
        <w:spacing w:after="0" w:line="264" w:lineRule="auto"/>
        <w:tabs>
          <w:tab w:leader="none" w:pos="226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Insider may trade in (buy or sell) Company securities while possessing material nonpublic information concerning the Company. The prohibition against trading while in possession of material nonpublic information applies to all Insiders and even during the “trading windows” described below. Persons possessing such information may trade during a trading window only after the expiration of forty-eight hours following the Company’s widespread public release of the information.</w:t>
      </w:r>
    </w:p>
    <w:p>
      <w:pPr>
        <w:spacing w:after="0" w:line="200" w:lineRule="exact"/>
        <w:rPr>
          <w:rFonts w:ascii="Times New Roman" w:cs="Times New Roman" w:eastAsia="Times New Roman" w:hAnsi="Times New Roman"/>
          <w:sz w:val="21"/>
          <w:szCs w:val="21"/>
          <w:color w:val="auto"/>
        </w:rPr>
      </w:pPr>
    </w:p>
    <w:p>
      <w:pPr>
        <w:spacing w:after="0" w:line="205" w:lineRule="exact"/>
        <w:rPr>
          <w:rFonts w:ascii="Times New Roman" w:cs="Times New Roman" w:eastAsia="Times New Roman" w:hAnsi="Times New Roman"/>
          <w:sz w:val="21"/>
          <w:szCs w:val="21"/>
          <w:color w:val="auto"/>
        </w:rPr>
      </w:pPr>
    </w:p>
    <w:p>
      <w:pPr>
        <w:jc w:val="both"/>
        <w:ind w:left="2260" w:right="20" w:hanging="317"/>
        <w:spacing w:after="0" w:line="261" w:lineRule="auto"/>
        <w:tabs>
          <w:tab w:leader="none" w:pos="226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Insider may trade in Company securities outside of the applicable “trading windows” or during any special trading blackout periods designated by the Compliance Officer. A trading window is the period beginning forty-eight hours following the Company’s widespread public release of quarterly or year-end earnings and ending at the close of trading on the fifteenth day (or, if this is not a trading day, the immediately preceding trading day) of the last calendar month of each fiscal quarter in which the earnings are released. (For example: assuming first fiscal quarter earnings are announced in the third week of April, the trading window would begin forty-eight hours following the announcement and would end on June 15th.) The Compliance Officer may, on a case-by-case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860"/>
          </w:cols>
          <w:pgMar w:left="500" w:top="1008" w:right="539" w:bottom="1440" w:gutter="0" w:footer="0" w:header="0"/>
        </w:sectPr>
      </w:pPr>
    </w:p>
    <w:bookmarkStart w:id="205" w:name="page206"/>
    <w:bookmarkEnd w:id="205"/>
    <w:p>
      <w:pPr>
        <w:jc w:val="both"/>
        <w:ind w:left="1320" w:right="20"/>
        <w:spacing w:after="0" w:line="279" w:lineRule="auto"/>
        <w:rPr>
          <w:sz w:val="20"/>
          <w:szCs w:val="20"/>
          <w:color w:val="auto"/>
        </w:rPr>
      </w:pPr>
      <w:r>
        <w:rPr>
          <w:rFonts w:ascii="Times New Roman" w:cs="Times New Roman" w:eastAsia="Times New Roman" w:hAnsi="Times New Roman"/>
          <w:sz w:val="21"/>
          <w:szCs w:val="21"/>
          <w:color w:val="auto"/>
        </w:rPr>
        <w:t>basis, authorize trading in Company securities by an Insider outside of the applicable trading windows (but not during special blackout periods) due to financial hardship or other hardships, but only in accordance with the procedures set forth in Section IV.B.2 below.</w:t>
      </w:r>
    </w:p>
    <w:p>
      <w:pPr>
        <w:spacing w:after="0" w:line="112" w:lineRule="exact"/>
        <w:rPr>
          <w:sz w:val="20"/>
          <w:szCs w:val="20"/>
          <w:color w:val="auto"/>
        </w:rPr>
      </w:pPr>
    </w:p>
    <w:p>
      <w:pPr>
        <w:jc w:val="both"/>
        <w:ind w:left="1320" w:right="20" w:hanging="317"/>
        <w:spacing w:after="0" w:line="279" w:lineRule="auto"/>
        <w:tabs>
          <w:tab w:leader="none" w:pos="132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Restricted Person may trade in or make a gift of Company securities unless the trade or gift, as applicable, has first been approved by the Compliance Officer in accordance with the procedures set forth in Section IV.B below.</w:t>
      </w:r>
    </w:p>
    <w:p>
      <w:pPr>
        <w:spacing w:after="0" w:line="111" w:lineRule="exact"/>
        <w:rPr>
          <w:rFonts w:ascii="Times New Roman" w:cs="Times New Roman" w:eastAsia="Times New Roman" w:hAnsi="Times New Roman"/>
          <w:sz w:val="21"/>
          <w:szCs w:val="21"/>
          <w:color w:val="auto"/>
        </w:rPr>
      </w:pPr>
    </w:p>
    <w:p>
      <w:pPr>
        <w:jc w:val="both"/>
        <w:ind w:left="1320" w:right="20" w:hanging="317"/>
        <w:spacing w:after="0" w:line="272" w:lineRule="auto"/>
        <w:tabs>
          <w:tab w:leader="none" w:pos="132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Compliance Officer may not trade in or make a gift of Company securities unless the trade has been approved by the Chief Executive Officer in accordance with the procedures set forth in Section IV.B below.</w:t>
      </w:r>
    </w:p>
    <w:p>
      <w:pPr>
        <w:spacing w:after="0" w:line="132" w:lineRule="exact"/>
        <w:rPr>
          <w:rFonts w:ascii="Times New Roman" w:cs="Times New Roman" w:eastAsia="Times New Roman" w:hAnsi="Times New Roman"/>
          <w:sz w:val="21"/>
          <w:szCs w:val="21"/>
          <w:color w:val="auto"/>
        </w:rPr>
      </w:pPr>
    </w:p>
    <w:p>
      <w:pPr>
        <w:jc w:val="both"/>
        <w:ind w:left="1320" w:hanging="317"/>
        <w:spacing w:after="0" w:line="260" w:lineRule="auto"/>
        <w:tabs>
          <w:tab w:leader="none" w:pos="132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Insider may “tip” or disclose material nonpublic information concerning the Company or its subsidiaries to any outside person (including family members, analysts, individual investors, and members of the investment community and news media), unless required as part of that Insider’s regular duties for the Company and specifically authorized by the Chief Executive Officer. In any instance in which such information is disclosed to outsiders, the Company will take such steps as are necessary to preserve the confidentiality of the information, including requiring the outsider to agree in writing to comply with the terms of this Policy and/or to sign a confidentiality agreement. All inquiries from outsiders regarding material nonpublic information about the Company must be forwarded to the Compliance Officer.</w:t>
      </w:r>
    </w:p>
    <w:p>
      <w:pPr>
        <w:spacing w:after="0" w:line="144" w:lineRule="exact"/>
        <w:rPr>
          <w:rFonts w:ascii="Times New Roman" w:cs="Times New Roman" w:eastAsia="Times New Roman" w:hAnsi="Times New Roman"/>
          <w:sz w:val="21"/>
          <w:szCs w:val="21"/>
          <w:color w:val="auto"/>
        </w:rPr>
      </w:pPr>
    </w:p>
    <w:p>
      <w:pPr>
        <w:jc w:val="both"/>
        <w:ind w:left="1320" w:hanging="317"/>
        <w:spacing w:after="0" w:line="266" w:lineRule="auto"/>
        <w:tabs>
          <w:tab w:leader="none" w:pos="132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Insider may give trading advice of any kind about the Company to anyone while possessing material nonpublic information about the Company, except that Insiders should advise others not to trade if doing so might violate the law or this Policy. The Company strongly discourages all Insiders from ever giving trading advice concerning the Company to third parties even when the Insiders do not possess material nonpublic information about the Company.</w:t>
      </w:r>
    </w:p>
    <w:p>
      <w:pPr>
        <w:spacing w:after="0" w:line="126" w:lineRule="exact"/>
        <w:rPr>
          <w:rFonts w:ascii="Times New Roman" w:cs="Times New Roman" w:eastAsia="Times New Roman" w:hAnsi="Times New Roman"/>
          <w:sz w:val="21"/>
          <w:szCs w:val="21"/>
          <w:color w:val="auto"/>
        </w:rPr>
      </w:pPr>
    </w:p>
    <w:p>
      <w:pPr>
        <w:jc w:val="both"/>
        <w:ind w:left="1320" w:hanging="317"/>
        <w:spacing w:after="0" w:line="266" w:lineRule="auto"/>
        <w:tabs>
          <w:tab w:leader="none" w:pos="132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Insider shall engage in any short sale of Company securities, or establish or use a margin account with a broker-dealer for the purpose of buying or selling Company securities or otherwise pledge any Company securities. Insiders are also prohibited from trading in exchange-traded options, other derivative securities, or engaging in hedging or monetization transactions or similar arrangements with respect to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9920"/>
          </w:cols>
          <w:pgMar w:left="1440" w:top="1012" w:right="539" w:bottom="1440" w:gutter="0" w:footer="0" w:header="0"/>
        </w:sectPr>
      </w:pPr>
    </w:p>
    <w:bookmarkStart w:id="206" w:name="page207"/>
    <w:bookmarkEnd w:id="206"/>
    <w:p>
      <w:pPr>
        <w:jc w:val="both"/>
        <w:ind w:left="1607" w:hanging="317"/>
        <w:spacing w:after="0" w:line="268" w:lineRule="auto"/>
        <w:tabs>
          <w:tab w:leader="none" w:pos="1607" w:val="left"/>
        </w:tabs>
        <w:numPr>
          <w:ilvl w:val="2"/>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Insider may (a) trade in the securities of any Business Partner while possessing material nonpublic information concerning that company, (b) “tip” or disclose material nonpublic information concerning any Business Partner to anyone or (c) give trading advice of any kind to anyone concerning any Business Partner while possessing material nonpublic information about that company.</w:t>
      </w:r>
    </w:p>
    <w:p>
      <w:pPr>
        <w:spacing w:after="0" w:line="399" w:lineRule="exact"/>
        <w:rPr>
          <w:rFonts w:ascii="Times New Roman" w:cs="Times New Roman" w:eastAsia="Times New Roman" w:hAnsi="Times New Roman"/>
          <w:sz w:val="21"/>
          <w:szCs w:val="21"/>
          <w:color w:val="auto"/>
        </w:rPr>
      </w:pPr>
    </w:p>
    <w:p>
      <w:pPr>
        <w:jc w:val="both"/>
        <w:ind w:left="1607" w:hanging="317"/>
        <w:spacing w:after="0" w:line="266" w:lineRule="auto"/>
        <w:tabs>
          <w:tab w:leader="none" w:pos="1607" w:val="left"/>
        </w:tabs>
        <w:numPr>
          <w:ilvl w:val="2"/>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Insider may trade in Company securities during any special blackout periods that the Compliance Officer may designate even though all or a portion of the blackout period may fall within a trading window. No Insider may disclose to any outside third party that a special blackout period has been designated.</w:t>
      </w:r>
    </w:p>
    <w:p>
      <w:pPr>
        <w:spacing w:after="0" w:line="134" w:lineRule="exact"/>
        <w:rPr>
          <w:rFonts w:ascii="Times New Roman" w:cs="Times New Roman" w:eastAsia="Times New Roman" w:hAnsi="Times New Roman"/>
          <w:sz w:val="21"/>
          <w:szCs w:val="21"/>
          <w:color w:val="auto"/>
        </w:rPr>
      </w:pPr>
    </w:p>
    <w:p>
      <w:pPr>
        <w:ind w:left="647" w:hanging="647"/>
        <w:spacing w:after="0"/>
        <w:tabs>
          <w:tab w:leader="none" w:pos="647" w:val="left"/>
        </w:tabs>
        <w:numPr>
          <w:ilvl w:val="0"/>
          <w:numId w:val="8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Procedures for Approving Trades and Gifts by Restricted Persons</w:t>
      </w:r>
    </w:p>
    <w:p>
      <w:pPr>
        <w:spacing w:after="0" w:line="192" w:lineRule="exact"/>
        <w:rPr>
          <w:rFonts w:ascii="Times New Roman" w:cs="Times New Roman" w:eastAsia="Times New Roman" w:hAnsi="Times New Roman"/>
          <w:sz w:val="21"/>
          <w:szCs w:val="21"/>
          <w:b w:val="1"/>
          <w:bCs w:val="1"/>
          <w:color w:val="auto"/>
        </w:rPr>
      </w:pPr>
    </w:p>
    <w:p>
      <w:pPr>
        <w:ind w:left="1287" w:hanging="642"/>
        <w:spacing w:after="0" w:line="291" w:lineRule="auto"/>
        <w:tabs>
          <w:tab w:leader="none" w:pos="1287"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permitted under Section IV.C below, no Restricted Person may trade in Company securities until</w:t>
      </w:r>
    </w:p>
    <w:p>
      <w:pPr>
        <w:spacing w:after="0" w:line="113" w:lineRule="exact"/>
        <w:rPr>
          <w:sz w:val="20"/>
          <w:szCs w:val="20"/>
          <w:color w:val="auto"/>
        </w:rPr>
      </w:pPr>
    </w:p>
    <w:p>
      <w:pPr>
        <w:jc w:val="both"/>
        <w:ind w:left="1927" w:hanging="637"/>
        <w:spacing w:after="0" w:line="266" w:lineRule="auto"/>
        <w:tabs>
          <w:tab w:leader="none" w:pos="1915"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Restricted Person proposing to trade has notified the Compliance Officer </w:t>
      </w:r>
      <w:r>
        <w:rPr>
          <w:rFonts w:ascii="Times New Roman" w:cs="Times New Roman" w:eastAsia="Times New Roman" w:hAnsi="Times New Roman"/>
          <w:sz w:val="21"/>
          <w:szCs w:val="21"/>
          <w:u w:val="single" w:color="auto"/>
          <w:color w:val="auto"/>
        </w:rPr>
        <w:t>in writing</w:t>
      </w:r>
      <w:r>
        <w:rPr>
          <w:rFonts w:ascii="Times New Roman" w:cs="Times New Roman" w:eastAsia="Times New Roman" w:hAnsi="Times New Roman"/>
          <w:sz w:val="21"/>
          <w:szCs w:val="21"/>
          <w:color w:val="auto"/>
        </w:rPr>
        <w:t xml:space="preserve"> no later than one business day prior to the proposed trade date, by submission of the form attached as </w:t>
      </w:r>
      <w:r>
        <w:rPr>
          <w:rFonts w:ascii="Times New Roman" w:cs="Times New Roman" w:eastAsia="Times New Roman" w:hAnsi="Times New Roman"/>
          <w:sz w:val="21"/>
          <w:szCs w:val="21"/>
          <w:u w:val="single" w:color="auto"/>
          <w:color w:val="auto"/>
        </w:rPr>
        <w:t>Attachment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Stock Trade Request</w:t>
      </w:r>
      <w:r>
        <w:rPr>
          <w:rFonts w:ascii="Times New Roman" w:cs="Times New Roman" w:eastAsia="Times New Roman" w:hAnsi="Times New Roman"/>
          <w:sz w:val="21"/>
          <w:szCs w:val="21"/>
          <w:color w:val="auto"/>
        </w:rPr>
        <w:t>”): (i) of the amount and nature of the proposed trade and (ii) that he or she is not in possession of material nonpublic information concerning the Company;</w:t>
      </w:r>
    </w:p>
    <w:p>
      <w:pPr>
        <w:spacing w:after="0" w:line="126" w:lineRule="exact"/>
        <w:rPr>
          <w:rFonts w:ascii="Times New Roman" w:cs="Times New Roman" w:eastAsia="Times New Roman" w:hAnsi="Times New Roman"/>
          <w:sz w:val="21"/>
          <w:szCs w:val="21"/>
          <w:color w:val="auto"/>
        </w:rPr>
      </w:pPr>
    </w:p>
    <w:p>
      <w:pPr>
        <w:jc w:val="both"/>
        <w:ind w:left="1927" w:right="20" w:hanging="637"/>
        <w:spacing w:after="0" w:line="270" w:lineRule="auto"/>
        <w:tabs>
          <w:tab w:leader="none" w:pos="1927"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Restricted Person proposing to trade, if also a Section 16 Individual, has certified to the Compliance Officer </w:t>
      </w:r>
      <w:r>
        <w:rPr>
          <w:rFonts w:ascii="Times New Roman" w:cs="Times New Roman" w:eastAsia="Times New Roman" w:hAnsi="Times New Roman"/>
          <w:sz w:val="21"/>
          <w:szCs w:val="21"/>
          <w:u w:val="single" w:color="auto"/>
          <w:color w:val="auto"/>
        </w:rPr>
        <w:t>in writing</w:t>
      </w:r>
      <w:r>
        <w:rPr>
          <w:rFonts w:ascii="Times New Roman" w:cs="Times New Roman" w:eastAsia="Times New Roman" w:hAnsi="Times New Roman"/>
          <w:sz w:val="21"/>
          <w:szCs w:val="21"/>
          <w:color w:val="auto"/>
        </w:rPr>
        <w:t xml:space="preserve"> that the proposed trade does not trigger any short swing profits under Section 16 of the Exchange Act and, if applicable, will be conducted in accordance with Rule 144 under the Securities Act of 1933 (“</w:t>
      </w:r>
      <w:r>
        <w:rPr>
          <w:rFonts w:ascii="Times New Roman" w:cs="Times New Roman" w:eastAsia="Times New Roman" w:hAnsi="Times New Roman"/>
          <w:sz w:val="21"/>
          <w:szCs w:val="21"/>
          <w:b w:val="1"/>
          <w:bCs w:val="1"/>
          <w:color w:val="auto"/>
        </w:rPr>
        <w:t>Securities Act</w:t>
      </w:r>
      <w:r>
        <w:rPr>
          <w:rFonts w:ascii="Times New Roman" w:cs="Times New Roman" w:eastAsia="Times New Roman" w:hAnsi="Times New Roman"/>
          <w:sz w:val="21"/>
          <w:szCs w:val="21"/>
          <w:color w:val="auto"/>
        </w:rPr>
        <w:t>”); and</w:t>
      </w:r>
    </w:p>
    <w:p>
      <w:pPr>
        <w:spacing w:after="0" w:line="122" w:lineRule="exact"/>
        <w:rPr>
          <w:rFonts w:ascii="Times New Roman" w:cs="Times New Roman" w:eastAsia="Times New Roman" w:hAnsi="Times New Roman"/>
          <w:sz w:val="21"/>
          <w:szCs w:val="21"/>
          <w:color w:val="auto"/>
        </w:rPr>
      </w:pPr>
    </w:p>
    <w:p>
      <w:pPr>
        <w:ind w:left="1927" w:right="20" w:hanging="637"/>
        <w:spacing w:after="0" w:line="291" w:lineRule="auto"/>
        <w:tabs>
          <w:tab w:leader="none" w:pos="1915"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Compliance Officer has approved the trade by countersigning the Stock Trade Request and returned it to the Restricted Person.</w:t>
      </w:r>
    </w:p>
    <w:p>
      <w:pPr>
        <w:spacing w:after="0" w:line="113" w:lineRule="exact"/>
        <w:rPr>
          <w:rFonts w:ascii="Times New Roman" w:cs="Times New Roman" w:eastAsia="Times New Roman" w:hAnsi="Times New Roman"/>
          <w:sz w:val="21"/>
          <w:szCs w:val="21"/>
          <w:color w:val="auto"/>
        </w:rPr>
      </w:pPr>
    </w:p>
    <w:p>
      <w:pPr>
        <w:jc w:val="both"/>
        <w:ind w:left="1287" w:hanging="642"/>
        <w:spacing w:after="0" w:line="260" w:lineRule="auto"/>
        <w:tabs>
          <w:tab w:leader="none" w:pos="1287"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Compliance Officer may, on a case-by-case basis, authorize trading in Company securities outside of the applicable trading windows applicable to Insiders, but not designated special blackout periods, due to financial hardship or other hardships only after the Insider proposing to trade has notified the Compliance Officer in writing of the circumstances of the hardship, the amount and nature of the proposed trade and, taken such other actions as the Compliance Officer may reasonably require. For Restricted Persons, compliance with all of the conditions of Section IV.B.1 must be satisfied prior to the Compliance Officer’s consideration of the request. In no event, however, will trading outside a trading window be approved when the Insider proposing to trade is in possession of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747"/>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207"/>
          </w:cols>
          <w:pgMar w:left="1153" w:top="1012" w:right="539" w:bottom="1440" w:gutter="0" w:footer="0" w:header="0"/>
        </w:sectPr>
      </w:pPr>
    </w:p>
    <w:bookmarkStart w:id="207" w:name="page208"/>
    <w:bookmarkEnd w:id="207"/>
    <w:p>
      <w:pPr>
        <w:jc w:val="both"/>
        <w:ind w:left="1287" w:hanging="642"/>
        <w:spacing w:after="0" w:line="279" w:lineRule="auto"/>
        <w:tabs>
          <w:tab w:leader="none" w:pos="1287"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to avoid the appearance of impropriety, gifts of Company securities by Restricted Persons are also subject to the pre-clearance procedures set forth below. Except as permitted in this Section IV.B.3, no Restricted Person may make a gift of Company securities until:</w:t>
      </w:r>
    </w:p>
    <w:p>
      <w:pPr>
        <w:spacing w:after="0" w:line="111" w:lineRule="exact"/>
        <w:rPr>
          <w:rFonts w:ascii="Times New Roman" w:cs="Times New Roman" w:eastAsia="Times New Roman" w:hAnsi="Times New Roman"/>
          <w:sz w:val="21"/>
          <w:szCs w:val="21"/>
          <w:color w:val="auto"/>
        </w:rPr>
      </w:pPr>
    </w:p>
    <w:p>
      <w:pPr>
        <w:jc w:val="both"/>
        <w:ind w:left="1927" w:hanging="637"/>
        <w:spacing w:after="0" w:line="262" w:lineRule="auto"/>
        <w:tabs>
          <w:tab w:leader="none" w:pos="1915" w:val="left"/>
        </w:tabs>
        <w:numPr>
          <w:ilvl w:val="2"/>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Restricted Person proposing the gift has notified the Compliance Officer </w:t>
      </w:r>
      <w:r>
        <w:rPr>
          <w:rFonts w:ascii="Times New Roman" w:cs="Times New Roman" w:eastAsia="Times New Roman" w:hAnsi="Times New Roman"/>
          <w:sz w:val="21"/>
          <w:szCs w:val="21"/>
          <w:u w:val="single" w:color="auto"/>
          <w:color w:val="auto"/>
        </w:rPr>
        <w:t>in writing</w:t>
      </w:r>
      <w:r>
        <w:rPr>
          <w:rFonts w:ascii="Times New Roman" w:cs="Times New Roman" w:eastAsia="Times New Roman" w:hAnsi="Times New Roman"/>
          <w:sz w:val="21"/>
          <w:szCs w:val="21"/>
          <w:color w:val="auto"/>
        </w:rPr>
        <w:t xml:space="preserve"> no later than one business day prior to the proposed gift: (i) of the amount and nature of the proposed gift, (ii) the identity of the proposed recipient, (iii) if the proposed recipient is not a natural person, whether the Restricted Person is a member of the governing body or an officer or trustee of the recipient, or has a material role in investment decisions of the recipient, and (iv) whether the Restricted Person has knowledge as to whether the recipient intends to sell the securities promptly upon receipt of the gift; and</w:t>
      </w:r>
    </w:p>
    <w:p>
      <w:pPr>
        <w:spacing w:after="0" w:line="143" w:lineRule="exact"/>
        <w:rPr>
          <w:rFonts w:ascii="Times New Roman" w:cs="Times New Roman" w:eastAsia="Times New Roman" w:hAnsi="Times New Roman"/>
          <w:sz w:val="21"/>
          <w:szCs w:val="21"/>
          <w:color w:val="auto"/>
        </w:rPr>
      </w:pPr>
    </w:p>
    <w:p>
      <w:pPr>
        <w:ind w:left="1927" w:hanging="637"/>
        <w:spacing w:after="0"/>
        <w:tabs>
          <w:tab w:leader="none" w:pos="1927" w:val="left"/>
        </w:tabs>
        <w:numPr>
          <w:ilvl w:val="2"/>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Compliance Officer has approved the proposed gift in writing.</w:t>
      </w:r>
    </w:p>
    <w:p>
      <w:pPr>
        <w:spacing w:after="0" w:line="188" w:lineRule="exact"/>
        <w:rPr>
          <w:rFonts w:ascii="Times New Roman" w:cs="Times New Roman" w:eastAsia="Times New Roman" w:hAnsi="Times New Roman"/>
          <w:sz w:val="21"/>
          <w:szCs w:val="21"/>
          <w:color w:val="auto"/>
        </w:rPr>
      </w:pPr>
    </w:p>
    <w:p>
      <w:pPr>
        <w:jc w:val="both"/>
        <w:ind w:left="1287" w:hanging="642"/>
        <w:spacing w:after="0" w:line="263" w:lineRule="auto"/>
        <w:tabs>
          <w:tab w:leader="none" w:pos="1287"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existence of the foregoing approval procedures does not in any way obligate the Compliance Officer to approve any trades or gifts requested by the Insider, including hardship applicants. The Compliance Officer may reject any trading or gift requests in his or her sole and reasonable discretion. Additionally, if any approved trade or gift is not executed within two trading days following the date of receipt of approval, then the Insider shall not be permitted to engage in a trade, until new approval is obtained from the Compliance Officer in accordance with the requirements of this Section IV.B.</w:t>
      </w:r>
    </w:p>
    <w:p>
      <w:pPr>
        <w:spacing w:after="0" w:line="141" w:lineRule="exact"/>
        <w:rPr>
          <w:rFonts w:ascii="Times New Roman" w:cs="Times New Roman" w:eastAsia="Times New Roman" w:hAnsi="Times New Roman"/>
          <w:sz w:val="21"/>
          <w:szCs w:val="21"/>
          <w:color w:val="auto"/>
        </w:rPr>
      </w:pPr>
    </w:p>
    <w:p>
      <w:pPr>
        <w:ind w:left="647" w:hanging="647"/>
        <w:spacing w:after="0"/>
        <w:tabs>
          <w:tab w:leader="none" w:pos="647"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Rule 10b5-1 Plans</w:t>
      </w:r>
    </w:p>
    <w:p>
      <w:pPr>
        <w:spacing w:after="0" w:line="192" w:lineRule="exact"/>
        <w:rPr>
          <w:rFonts w:ascii="Times New Roman" w:cs="Times New Roman" w:eastAsia="Times New Roman" w:hAnsi="Times New Roman"/>
          <w:sz w:val="21"/>
          <w:szCs w:val="21"/>
          <w:b w:val="1"/>
          <w:bCs w:val="1"/>
          <w:color w:val="auto"/>
        </w:rPr>
      </w:pPr>
    </w:p>
    <w:p>
      <w:pPr>
        <w:jc w:val="both"/>
        <w:ind w:left="647"/>
        <w:spacing w:after="0" w:line="262"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Rule 10b5-1 under the Exchange Act provides a defense from insider trading liability under Rule 10b-5. In order to be eligible to rely on this defense, a person subject to this Policy must enter into a Rule 10b5-1 plan for transactions in Company securities that meets certain conditions specified in the rule (a “</w:t>
      </w:r>
      <w:r>
        <w:rPr>
          <w:rFonts w:ascii="Times New Roman" w:cs="Times New Roman" w:eastAsia="Times New Roman" w:hAnsi="Times New Roman"/>
          <w:sz w:val="21"/>
          <w:szCs w:val="21"/>
          <w:b w:val="1"/>
          <w:bCs w:val="1"/>
          <w:color w:val="auto"/>
        </w:rPr>
        <w:t>Rule 10b5-1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If the plan meets the requirements of Rule 10b5-1, transactions in Company securities may occur even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when the person who has entered into the plan is aware of material nonpublic information, without regard to the provisions of Sections IV.A and IV.B of this Policy, if the Insider obtains the Compliance Officer’s approval for the Rule 10b5-1 Plan.</w:t>
      </w:r>
    </w:p>
    <w:p>
      <w:pPr>
        <w:spacing w:after="0" w:line="143" w:lineRule="exact"/>
        <w:rPr>
          <w:rFonts w:ascii="Times New Roman" w:cs="Times New Roman" w:eastAsia="Times New Roman" w:hAnsi="Times New Roman"/>
          <w:sz w:val="21"/>
          <w:szCs w:val="21"/>
          <w:b w:val="1"/>
          <w:bCs w:val="1"/>
          <w:color w:val="auto"/>
        </w:rPr>
      </w:pPr>
    </w:p>
    <w:p>
      <w:pPr>
        <w:jc w:val="both"/>
        <w:ind w:left="647"/>
        <w:spacing w:after="0" w:line="264"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comply with the Policy, a Rule 10b5-1 Plan must be approved by the Compliance Officer and meet the requirements of Rule 10b5-1, and be entered into during a trading window or outside a special trading blackout period.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687"/>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207"/>
          </w:cols>
          <w:pgMar w:left="1153" w:top="1012" w:right="539" w:bottom="1440" w:gutter="0" w:footer="0" w:header="0"/>
        </w:sectPr>
      </w:pPr>
    </w:p>
    <w:bookmarkStart w:id="208" w:name="page209"/>
    <w:bookmarkEnd w:id="208"/>
    <w:p>
      <w:pPr>
        <w:jc w:val="both"/>
        <w:ind w:left="647"/>
        <w:spacing w:after="0" w:line="261" w:lineRule="auto"/>
        <w:rPr>
          <w:sz w:val="20"/>
          <w:szCs w:val="20"/>
          <w:color w:val="auto"/>
        </w:rPr>
      </w:pPr>
      <w:r>
        <w:rPr>
          <w:rFonts w:ascii="Times New Roman" w:cs="Times New Roman" w:eastAsia="Times New Roman" w:hAnsi="Times New Roman"/>
          <w:sz w:val="21"/>
          <w:szCs w:val="21"/>
          <w:color w:val="auto"/>
        </w:rPr>
        <w:t>trade. The plan must either specify the amount, pricing and timing of transactions in advance or delegate discretion on these matters to an independent third party. The plan must include a cooling-off period before trading can commence that, for directors or officers, ends on the later of 90 days after the adoption of the Rule 10b5-1 Plan or two business days following the disclosure of the Company’s financial results in an SEC periodic report for the fiscal quarter in which the plan was adopted (but in any event, the required cooling-off period is subject to a maximum of 120 days after adoption of the plan), and for persons other than directors or officers, 30 days following the adoption or modification of a Rule 10b5-1 Plan. A person may not enter into overlapping Rule 10b5-1 Plans (subject to certain exceptions) and may only enter into one single-trade Rule 10b5-1 Plan during any 12-month period (subject to certain exceptions).</w:t>
      </w:r>
    </w:p>
    <w:p>
      <w:pPr>
        <w:spacing w:after="0" w:line="136" w:lineRule="exact"/>
        <w:rPr>
          <w:sz w:val="20"/>
          <w:szCs w:val="20"/>
          <w:color w:val="auto"/>
        </w:rPr>
      </w:pPr>
    </w:p>
    <w:p>
      <w:pPr>
        <w:jc w:val="both"/>
        <w:ind w:left="647" w:right="20"/>
        <w:spacing w:after="0" w:line="270" w:lineRule="auto"/>
        <w:rPr>
          <w:sz w:val="20"/>
          <w:szCs w:val="20"/>
          <w:color w:val="auto"/>
        </w:rPr>
      </w:pPr>
      <w:r>
        <w:rPr>
          <w:rFonts w:ascii="Times New Roman" w:cs="Times New Roman" w:eastAsia="Times New Roman" w:hAnsi="Times New Roman"/>
          <w:sz w:val="21"/>
          <w:szCs w:val="21"/>
          <w:color w:val="auto"/>
        </w:rPr>
        <w:t>Directors and officers must include a representation in their Rule 10b5-1 plan certifying that: (i) they are not aware of any material nonpublic information; and (ii) they are adopting the plan in good faith and not as part of a plan or scheme to evade the prohibitions in Rule 10b-5. All persons entering into a Rule 10b5-1 plan must act in good faith with respect to that plan.</w:t>
      </w:r>
    </w:p>
    <w:p>
      <w:pPr>
        <w:spacing w:after="0" w:line="123" w:lineRule="exact"/>
        <w:rPr>
          <w:sz w:val="20"/>
          <w:szCs w:val="20"/>
          <w:color w:val="auto"/>
        </w:rPr>
      </w:pPr>
    </w:p>
    <w:p>
      <w:pPr>
        <w:jc w:val="both"/>
        <w:ind w:left="647" w:right="20"/>
        <w:spacing w:after="0" w:line="304" w:lineRule="auto"/>
        <w:rPr>
          <w:sz w:val="20"/>
          <w:szCs w:val="20"/>
          <w:color w:val="auto"/>
        </w:rPr>
      </w:pPr>
      <w:r>
        <w:rPr>
          <w:rFonts w:ascii="Times New Roman" w:cs="Times New Roman" w:eastAsia="Times New Roman" w:hAnsi="Times New Roman"/>
          <w:sz w:val="21"/>
          <w:szCs w:val="21"/>
          <w:color w:val="auto"/>
        </w:rPr>
        <w:t>Any Rule 10b5-1 Plan must be submitted for approval ten business days prior to the entry into the Rule 10b5-1 Plan. No further pre-approval of transactions conducted pursuant to the Rule 10b5-1 Plan will be required.</w:t>
      </w:r>
    </w:p>
    <w:p>
      <w:pPr>
        <w:spacing w:after="0" w:line="87" w:lineRule="exact"/>
        <w:rPr>
          <w:sz w:val="20"/>
          <w:szCs w:val="20"/>
          <w:color w:val="auto"/>
        </w:rPr>
      </w:pPr>
    </w:p>
    <w:p>
      <w:pPr>
        <w:jc w:val="both"/>
        <w:ind w:left="647" w:right="20"/>
        <w:spacing w:after="0" w:line="291" w:lineRule="auto"/>
        <w:rPr>
          <w:sz w:val="20"/>
          <w:szCs w:val="20"/>
          <w:color w:val="auto"/>
        </w:rPr>
      </w:pPr>
      <w:r>
        <w:rPr>
          <w:rFonts w:ascii="Times New Roman" w:cs="Times New Roman" w:eastAsia="Times New Roman" w:hAnsi="Times New Roman"/>
          <w:sz w:val="21"/>
          <w:szCs w:val="21"/>
          <w:color w:val="auto"/>
        </w:rPr>
        <w:t>Any modification of a 10b5-1 Plan is the equivalent of entering into a new 10b5-1 Plan and cancelling the old plan, and therefore also must be approved in advance by the Compliance Officer.</w:t>
      </w:r>
    </w:p>
    <w:p>
      <w:pPr>
        <w:spacing w:after="0" w:line="109" w:lineRule="exact"/>
        <w:rPr>
          <w:sz w:val="20"/>
          <w:szCs w:val="20"/>
          <w:color w:val="auto"/>
        </w:rPr>
      </w:pPr>
    </w:p>
    <w:p>
      <w:pPr>
        <w:ind w:left="647" w:hanging="647"/>
        <w:spacing w:after="0"/>
        <w:tabs>
          <w:tab w:leader="none" w:pos="647" w:val="left"/>
        </w:tabs>
        <w:numPr>
          <w:ilvl w:val="0"/>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Equity Incentive Plans</w:t>
      </w:r>
    </w:p>
    <w:p>
      <w:pPr>
        <w:spacing w:after="0" w:line="192" w:lineRule="exact"/>
        <w:rPr>
          <w:rFonts w:ascii="Times New Roman" w:cs="Times New Roman" w:eastAsia="Times New Roman" w:hAnsi="Times New Roman"/>
          <w:sz w:val="21"/>
          <w:szCs w:val="21"/>
          <w:b w:val="1"/>
          <w:bCs w:val="1"/>
          <w:color w:val="auto"/>
        </w:rPr>
      </w:pPr>
    </w:p>
    <w:p>
      <w:pPr>
        <w:jc w:val="both"/>
        <w:ind w:left="647"/>
        <w:spacing w:after="0" w:line="266"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trading prohibitions and restrictions of this Policy apply to all sales of securities acquired through the exercise of share options or vesting of restricted share units granted by the Company, but not to the acquisition of securities through such exercises or vesting or the withholding of shares by the Company for any director, officer or employee income tax liability incurred in connection with the exercise of share options or vesting of restricted share units or other equity awards.</w:t>
      </w:r>
    </w:p>
    <w:p>
      <w:pPr>
        <w:spacing w:after="0" w:line="135" w:lineRule="exact"/>
        <w:rPr>
          <w:rFonts w:ascii="Times New Roman" w:cs="Times New Roman" w:eastAsia="Times New Roman" w:hAnsi="Times New Roman"/>
          <w:sz w:val="21"/>
          <w:szCs w:val="21"/>
          <w:b w:val="1"/>
          <w:bCs w:val="1"/>
          <w:color w:val="auto"/>
        </w:rPr>
      </w:pPr>
    </w:p>
    <w:p>
      <w:pPr>
        <w:ind w:left="647" w:hanging="647"/>
        <w:spacing w:after="0"/>
        <w:tabs>
          <w:tab w:leader="none" w:pos="647" w:val="left"/>
        </w:tabs>
        <w:numPr>
          <w:ilvl w:val="0"/>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Post-Termination Transactions</w:t>
      </w:r>
    </w:p>
    <w:p>
      <w:pPr>
        <w:spacing w:after="0" w:line="192" w:lineRule="exact"/>
        <w:rPr>
          <w:rFonts w:ascii="Times New Roman" w:cs="Times New Roman" w:eastAsia="Times New Roman" w:hAnsi="Times New Roman"/>
          <w:sz w:val="21"/>
          <w:szCs w:val="21"/>
          <w:b w:val="1"/>
          <w:bCs w:val="1"/>
          <w:color w:val="auto"/>
        </w:rPr>
      </w:pPr>
    </w:p>
    <w:p>
      <w:pPr>
        <w:jc w:val="both"/>
        <w:ind w:left="647" w:right="20"/>
        <w:spacing w:after="0" w:line="270"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Sections I, III, IV A, C (excluding the pre-approval requirement) and D of this Policy continue to apply to transactions in Company securities even after termination of service to the Company. If an individual is in possession of material nonpublic information when his or her service terminates, that individual may not engage in transactions in Company securities until that information has become public or is no longer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87"/>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207"/>
          </w:cols>
          <w:pgMar w:left="1153" w:top="1012" w:right="539" w:bottom="1440" w:gutter="0" w:footer="0" w:header="0"/>
        </w:sectPr>
      </w:pPr>
    </w:p>
    <w:bookmarkStart w:id="209" w:name="page210"/>
    <w:bookmarkEnd w:id="209"/>
    <w:p>
      <w:pPr>
        <w:ind w:left="1280" w:hanging="628"/>
        <w:spacing w:after="0"/>
        <w:tabs>
          <w:tab w:leader="none" w:pos="1280" w:val="left"/>
        </w:tabs>
        <w:numPr>
          <w:ilvl w:val="0"/>
          <w:numId w:val="9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Priority of Statutory or Regulatory Trading Restrictions</w:t>
      </w:r>
    </w:p>
    <w:p>
      <w:pPr>
        <w:spacing w:after="0" w:line="206" w:lineRule="exact"/>
        <w:rPr>
          <w:sz w:val="20"/>
          <w:szCs w:val="20"/>
          <w:color w:val="auto"/>
        </w:rPr>
      </w:pPr>
    </w:p>
    <w:p>
      <w:pPr>
        <w:jc w:val="both"/>
        <w:ind w:left="1300"/>
        <w:spacing w:after="0" w:line="268" w:lineRule="auto"/>
        <w:rPr>
          <w:sz w:val="20"/>
          <w:szCs w:val="20"/>
          <w:color w:val="auto"/>
        </w:rPr>
      </w:pPr>
      <w:r>
        <w:rPr>
          <w:rFonts w:ascii="Times New Roman" w:cs="Times New Roman" w:eastAsia="Times New Roman" w:hAnsi="Times New Roman"/>
          <w:sz w:val="21"/>
          <w:szCs w:val="21"/>
          <w:color w:val="auto"/>
        </w:rPr>
        <w:t xml:space="preserve">The trading prohibitions and restrictions set forth in this Policy will be superseded by any greater prohibitions or restrictions prescribed by federal or state securities laws and regulations,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short-swing trading by Section 16 Individuals or restrictions on the sale of securities subject to Rule 144 under the Securities Act. Any Insider who is uncertain whether other prohibitions or restrictions apply should ask the Compliance Officer.</w:t>
      </w:r>
    </w:p>
    <w:p>
      <w:pPr>
        <w:spacing w:after="0" w:line="382" w:lineRule="exact"/>
        <w:rPr>
          <w:sz w:val="20"/>
          <w:szCs w:val="20"/>
          <w:color w:val="auto"/>
        </w:rPr>
      </w:pPr>
    </w:p>
    <w:p>
      <w:pPr>
        <w:ind w:left="680" w:hanging="672"/>
        <w:spacing w:after="0"/>
        <w:tabs>
          <w:tab w:leader="none" w:pos="680"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Violations</w:t>
      </w:r>
    </w:p>
    <w:p>
      <w:pPr>
        <w:spacing w:after="0" w:line="201" w:lineRule="exact"/>
        <w:rPr>
          <w:rFonts w:ascii="Times New Roman" w:cs="Times New Roman" w:eastAsia="Times New Roman" w:hAnsi="Times New Roman"/>
          <w:sz w:val="21"/>
          <w:szCs w:val="21"/>
          <w:b w:val="1"/>
          <w:bCs w:val="1"/>
          <w:color w:val="auto"/>
        </w:rPr>
      </w:pPr>
    </w:p>
    <w:p>
      <w:pPr>
        <w:ind w:left="1300" w:hanging="647"/>
        <w:spacing w:after="0"/>
        <w:tabs>
          <w:tab w:leader="none" w:pos="1300" w:val="left"/>
        </w:tabs>
        <w:numPr>
          <w:ilvl w:val="1"/>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Disciplinary Sanctions</w:t>
      </w:r>
    </w:p>
    <w:p>
      <w:pPr>
        <w:spacing w:after="0" w:line="192" w:lineRule="exact"/>
        <w:rPr>
          <w:rFonts w:ascii="Times New Roman" w:cs="Times New Roman" w:eastAsia="Times New Roman" w:hAnsi="Times New Roman"/>
          <w:sz w:val="21"/>
          <w:szCs w:val="21"/>
          <w:b w:val="1"/>
          <w:bCs w:val="1"/>
          <w:color w:val="auto"/>
        </w:rPr>
      </w:pPr>
    </w:p>
    <w:p>
      <w:pPr>
        <w:jc w:val="both"/>
        <w:ind w:left="1300"/>
        <w:spacing w:after="0" w:line="272"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Violation of this Policy or federal or state insider trading or tipping laws by any Insider may (i) subject the director to removal from the board of directors and (ii) the officer or employee to disciplinary action by the Company up to and including immediate termination for cause.</w:t>
      </w:r>
    </w:p>
    <w:p>
      <w:pPr>
        <w:spacing w:after="0" w:line="128" w:lineRule="exact"/>
        <w:rPr>
          <w:rFonts w:ascii="Times New Roman" w:cs="Times New Roman" w:eastAsia="Times New Roman" w:hAnsi="Times New Roman"/>
          <w:sz w:val="21"/>
          <w:szCs w:val="21"/>
          <w:b w:val="1"/>
          <w:bCs w:val="1"/>
          <w:color w:val="auto"/>
        </w:rPr>
      </w:pPr>
    </w:p>
    <w:p>
      <w:pPr>
        <w:ind w:left="1300" w:hanging="647"/>
        <w:spacing w:after="0"/>
        <w:tabs>
          <w:tab w:leader="none" w:pos="1300" w:val="left"/>
        </w:tabs>
        <w:numPr>
          <w:ilvl w:val="1"/>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Reporting Violations</w:t>
      </w:r>
    </w:p>
    <w:p>
      <w:pPr>
        <w:spacing w:after="0" w:line="192" w:lineRule="exact"/>
        <w:rPr>
          <w:rFonts w:ascii="Times New Roman" w:cs="Times New Roman" w:eastAsia="Times New Roman" w:hAnsi="Times New Roman"/>
          <w:sz w:val="21"/>
          <w:szCs w:val="21"/>
          <w:b w:val="1"/>
          <w:bCs w:val="1"/>
          <w:color w:val="auto"/>
        </w:rPr>
      </w:pPr>
    </w:p>
    <w:p>
      <w:pPr>
        <w:jc w:val="both"/>
        <w:ind w:left="1300"/>
        <w:spacing w:after="0" w:line="266"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Any Insider who violates this Policy or any federal or state laws governing insider trading or tipping, or knows of any such violation by any other Insiders, must report the violation immediately to the Compliance Officer. Upon learning of any such violation, the Compliance Officer, in consultation with the Company’s legal counsel, will determine whether the Company should release any material nonpublic information, or whether the Company should report the violation to the SEC or other appropriate governmental authority.</w:t>
      </w:r>
    </w:p>
    <w:p>
      <w:pPr>
        <w:spacing w:after="0" w:line="1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VI.</w:t>
      </w:r>
      <w:r>
        <w:rPr>
          <w:sz w:val="20"/>
          <w:szCs w:val="20"/>
          <w:color w:val="auto"/>
        </w:rPr>
        <w:tab/>
      </w:r>
      <w:r>
        <w:rPr>
          <w:rFonts w:ascii="Times New Roman" w:cs="Times New Roman" w:eastAsia="Times New Roman" w:hAnsi="Times New Roman"/>
          <w:sz w:val="21"/>
          <w:szCs w:val="21"/>
          <w:b w:val="1"/>
          <w:bCs w:val="1"/>
          <w:color w:val="auto"/>
        </w:rPr>
        <w:t>Inquiries</w:t>
      </w:r>
    </w:p>
    <w:p>
      <w:pPr>
        <w:spacing w:after="0" w:line="192" w:lineRule="exact"/>
        <w:rPr>
          <w:sz w:val="20"/>
          <w:szCs w:val="20"/>
          <w:color w:val="auto"/>
        </w:rPr>
      </w:pPr>
    </w:p>
    <w:p>
      <w:pPr>
        <w:ind w:left="1300" w:right="360"/>
        <w:spacing w:after="0" w:line="291" w:lineRule="auto"/>
        <w:rPr>
          <w:sz w:val="20"/>
          <w:szCs w:val="20"/>
          <w:color w:val="auto"/>
        </w:rPr>
      </w:pPr>
      <w:r>
        <w:rPr>
          <w:rFonts w:ascii="Times New Roman" w:cs="Times New Roman" w:eastAsia="Times New Roman" w:hAnsi="Times New Roman"/>
          <w:sz w:val="21"/>
          <w:szCs w:val="21"/>
          <w:color w:val="auto"/>
        </w:rPr>
        <w:t>Please direct all inquiries regarding any of the provisions or procedures of this Policy to the Compliance Officer.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860"/>
          </w:cols>
          <w:pgMar w:left="500" w:top="1008" w:right="539" w:bottom="1440" w:gutter="0" w:footer="0" w:header="0"/>
        </w:sectPr>
      </w:pPr>
    </w:p>
    <w:bookmarkStart w:id="210" w:name="page211"/>
    <w:bookmarkEnd w:id="210"/>
    <w:p>
      <w:pPr>
        <w:ind w:left="9780"/>
        <w:spacing w:after="0"/>
        <w:rPr>
          <w:sz w:val="20"/>
          <w:szCs w:val="20"/>
          <w:color w:val="auto"/>
        </w:rPr>
      </w:pPr>
      <w:r>
        <w:rPr>
          <w:rFonts w:ascii="Times New Roman" w:cs="Times New Roman" w:eastAsia="Times New Roman" w:hAnsi="Times New Roman"/>
          <w:sz w:val="18"/>
          <w:szCs w:val="18"/>
          <w:b w:val="1"/>
          <w:bCs w:val="1"/>
          <w:u w:val="single" w:color="auto"/>
          <w:color w:val="auto"/>
        </w:rPr>
        <w:t>Attachment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19050</wp:posOffset>
            </wp:positionV>
            <wp:extent cx="3839210" cy="298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2">
                      <a:extLst>
                        <a:ext uri="{28A0092B-C50C-407E-A947-70E740481C1C}"/>
                      </a:extLst>
                    </a:blip>
                    <a:srcRect/>
                    <a:stretch>
                      <a:fillRect/>
                    </a:stretch>
                  </pic:blipFill>
                  <pic:spPr bwMode="auto">
                    <a:xfrm>
                      <a:off x="0" y="0"/>
                      <a:ext cx="3839210" cy="29845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STOCK TRADE REQUEST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Instructions:</w:t>
      </w:r>
    </w:p>
    <w:p>
      <w:pPr>
        <w:spacing w:after="0" w:line="28" w:lineRule="exact"/>
        <w:rPr>
          <w:sz w:val="20"/>
          <w:szCs w:val="20"/>
          <w:color w:val="auto"/>
        </w:rPr>
      </w:pPr>
    </w:p>
    <w:p>
      <w:pPr>
        <w:jc w:val="both"/>
        <w:ind w:right="280"/>
        <w:spacing w:after="0" w:line="254" w:lineRule="auto"/>
        <w:rPr>
          <w:sz w:val="20"/>
          <w:szCs w:val="20"/>
          <w:color w:val="auto"/>
        </w:rPr>
      </w:pPr>
      <w:r>
        <w:rPr>
          <w:rFonts w:ascii="Times New Roman" w:cs="Times New Roman" w:eastAsia="Times New Roman" w:hAnsi="Times New Roman"/>
          <w:sz w:val="17"/>
          <w:szCs w:val="17"/>
          <w:color w:val="auto"/>
        </w:rPr>
        <w:t>The Company requires mandatory pre-clearance for all directors and executive officers and others deemed “Restricted Persons” by the Compliance Officer who desire to trade in the common shares of James River Group Holdings, Ltd. (the “Company”). If you have questions in advance of a trade, including whether you are a Restricted Person, please contact the Compliance Officer at InvestorRelations@james-river-group.com. Complete this stock trade request form and email it to InvestorRelations@james-river-group.com at least one business day prior to your intended trade date. Please note that we will act upon your request promptly but cannot guarantee same day turnaround.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Trade Request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would like to request the following open market transaction (select one):</w:t>
      </w:r>
    </w:p>
    <w:p>
      <w:pPr>
        <w:spacing w:after="0" w:line="124" w:lineRule="exact"/>
        <w:rPr>
          <w:sz w:val="20"/>
          <w:szCs w:val="20"/>
          <w:color w:val="auto"/>
        </w:rPr>
      </w:pPr>
    </w:p>
    <w:tbl>
      <w:tblPr>
        <w:tblLayout w:type="fixed"/>
        <w:tblInd w:w="510" w:type="dxa"/>
        <w:tblCellMar>
          <w:top w:w="0" w:type="dxa"/>
          <w:left w:w="0" w:type="dxa"/>
          <w:bottom w:w="0" w:type="dxa"/>
          <w:right w:w="0" w:type="dxa"/>
        </w:tblCellMar>
      </w:tblPr>
      <w:tr>
        <w:trPr>
          <w:trHeight w:val="203"/>
        </w:trPr>
        <w:tc>
          <w:tcPr>
            <w:tcW w:w="1180" w:type="dxa"/>
            <w:vAlign w:val="bottom"/>
            <w:tcBorders>
              <w:top w:val="single" w:sz="8" w:color="auto"/>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Select</w:t>
            </w:r>
          </w:p>
        </w:tc>
        <w:tc>
          <w:tcPr>
            <w:tcW w:w="2320" w:type="dxa"/>
            <w:vAlign w:val="bottom"/>
            <w:tcBorders>
              <w:top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7"/>
                <w:szCs w:val="17"/>
                <w:b w:val="1"/>
                <w:bCs w:val="1"/>
                <w:color w:val="auto"/>
              </w:rPr>
              <w:t>Transaction</w:t>
            </w:r>
          </w:p>
        </w:tc>
        <w:tc>
          <w:tcPr>
            <w:tcW w:w="2180" w:type="dxa"/>
            <w:vAlign w:val="bottom"/>
            <w:tcBorders>
              <w:top w:val="single" w:sz="8" w:color="auto"/>
              <w:right w:val="single" w:sz="8" w:color="auto"/>
            </w:tcBorders>
          </w:tcPr>
          <w:p>
            <w:pPr>
              <w:spacing w:after="0"/>
              <w:rPr>
                <w:sz w:val="17"/>
                <w:szCs w:val="17"/>
                <w:color w:val="auto"/>
              </w:rPr>
            </w:pPr>
          </w:p>
        </w:tc>
        <w:tc>
          <w:tcPr>
            <w:tcW w:w="1900" w:type="dxa"/>
            <w:vAlign w:val="bottom"/>
            <w:tcBorders>
              <w:top w:val="single" w:sz="8" w:color="auto"/>
              <w:right w:val="single" w:sz="8" w:color="auto"/>
            </w:tcBorders>
          </w:tcPr>
          <w:p>
            <w:pPr>
              <w:spacing w:after="0"/>
              <w:rPr>
                <w:sz w:val="17"/>
                <w:szCs w:val="17"/>
                <w:color w:val="auto"/>
              </w:rPr>
            </w:pPr>
          </w:p>
        </w:tc>
      </w:tr>
      <w:tr>
        <w:trPr>
          <w:trHeight w:val="279"/>
        </w:trPr>
        <w:tc>
          <w:tcPr>
            <w:tcW w:w="1180" w:type="dxa"/>
            <w:vAlign w:val="bottom"/>
            <w:tcBorders>
              <w:left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7"/>
                <w:szCs w:val="17"/>
                <w:b w:val="1"/>
                <w:bCs w:val="1"/>
                <w:color w:val="auto"/>
              </w:rPr>
              <w:t>One</w:t>
            </w:r>
          </w:p>
        </w:tc>
        <w:tc>
          <w:tcPr>
            <w:tcW w:w="232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7"/>
                <w:szCs w:val="17"/>
                <w:b w:val="1"/>
                <w:bCs w:val="1"/>
                <w:color w:val="auto"/>
              </w:rPr>
              <w:t>Type</w:t>
            </w:r>
          </w:p>
        </w:tc>
        <w:tc>
          <w:tcPr>
            <w:tcW w:w="21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7"/>
                <w:szCs w:val="17"/>
                <w:b w:val="1"/>
                <w:bCs w:val="1"/>
                <w:color w:val="auto"/>
              </w:rPr>
              <w:t>Quantity</w:t>
            </w:r>
          </w:p>
        </w:tc>
        <w:tc>
          <w:tcPr>
            <w:tcW w:w="19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7"/>
                <w:szCs w:val="17"/>
                <w:b w:val="1"/>
                <w:bCs w:val="1"/>
                <w:color w:val="auto"/>
              </w:rPr>
              <w:t>Price*</w:t>
            </w:r>
          </w:p>
        </w:tc>
      </w:tr>
      <w:tr>
        <w:trPr>
          <w:trHeight w:val="29"/>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20"/>
        </w:trPr>
        <w:tc>
          <w:tcPr>
            <w:tcW w:w="1180" w:type="dxa"/>
            <w:vAlign w:val="bottom"/>
            <w:tcBorders>
              <w:left w:val="single" w:sz="8" w:color="auto"/>
              <w:right w:val="single" w:sz="8" w:color="auto"/>
            </w:tcBorders>
          </w:tcPr>
          <w:p>
            <w:pPr>
              <w:spacing w:after="0"/>
              <w:rPr>
                <w:sz w:val="19"/>
                <w:szCs w:val="19"/>
                <w:color w:val="auto"/>
              </w:rPr>
            </w:pPr>
          </w:p>
        </w:tc>
        <w:tc>
          <w:tcPr>
            <w:tcW w:w="2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Purchase</w:t>
            </w:r>
          </w:p>
        </w:tc>
        <w:tc>
          <w:tcPr>
            <w:tcW w:w="218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r>
      <w:tr>
        <w:trPr>
          <w:trHeight w:val="29"/>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20"/>
        </w:trPr>
        <w:tc>
          <w:tcPr>
            <w:tcW w:w="1180" w:type="dxa"/>
            <w:vAlign w:val="bottom"/>
            <w:tcBorders>
              <w:left w:val="single" w:sz="8" w:color="auto"/>
              <w:right w:val="single" w:sz="8" w:color="auto"/>
            </w:tcBorders>
          </w:tcPr>
          <w:p>
            <w:pPr>
              <w:spacing w:after="0"/>
              <w:rPr>
                <w:sz w:val="19"/>
                <w:szCs w:val="19"/>
                <w:color w:val="auto"/>
              </w:rPr>
            </w:pPr>
          </w:p>
        </w:tc>
        <w:tc>
          <w:tcPr>
            <w:tcW w:w="2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Sale</w:t>
            </w:r>
          </w:p>
        </w:tc>
        <w:tc>
          <w:tcPr>
            <w:tcW w:w="218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r>
      <w:tr>
        <w:trPr>
          <w:trHeight w:val="29"/>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187"/>
        </w:trPr>
        <w:tc>
          <w:tcPr>
            <w:tcW w:w="1180" w:type="dxa"/>
            <w:vAlign w:val="bottom"/>
            <w:tcBorders>
              <w:left w:val="single" w:sz="8" w:color="auto"/>
              <w:right w:val="single" w:sz="8" w:color="auto"/>
            </w:tcBorders>
          </w:tcPr>
          <w:p>
            <w:pPr>
              <w:spacing w:after="0"/>
              <w:rPr>
                <w:sz w:val="16"/>
                <w:szCs w:val="16"/>
                <w:color w:val="auto"/>
              </w:rPr>
            </w:pPr>
          </w:p>
        </w:tc>
        <w:tc>
          <w:tcPr>
            <w:tcW w:w="2320" w:type="dxa"/>
            <w:vAlign w:val="bottom"/>
            <w:tcBorders>
              <w:right w:val="single" w:sz="8" w:color="auto"/>
            </w:tcBorders>
          </w:tcPr>
          <w:p>
            <w:pPr>
              <w:ind w:left="60"/>
              <w:spacing w:after="0" w:line="187" w:lineRule="exact"/>
              <w:rPr>
                <w:sz w:val="20"/>
                <w:szCs w:val="20"/>
                <w:color w:val="auto"/>
              </w:rPr>
            </w:pPr>
            <w:r>
              <w:rPr>
                <w:rFonts w:ascii="Times New Roman" w:cs="Times New Roman" w:eastAsia="Times New Roman" w:hAnsi="Times New Roman"/>
                <w:sz w:val="17"/>
                <w:szCs w:val="17"/>
                <w:color w:val="auto"/>
              </w:rPr>
              <w:t>Transfer of beneficial</w:t>
            </w:r>
          </w:p>
        </w:tc>
        <w:tc>
          <w:tcPr>
            <w:tcW w:w="21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r>
      <w:tr>
        <w:trPr>
          <w:trHeight w:val="222"/>
        </w:trPr>
        <w:tc>
          <w:tcPr>
            <w:tcW w:w="1180" w:type="dxa"/>
            <w:vAlign w:val="bottom"/>
            <w:tcBorders>
              <w:left w:val="single" w:sz="8" w:color="auto"/>
              <w:bottom w:val="single" w:sz="8" w:color="auto"/>
              <w:right w:val="single" w:sz="8" w:color="auto"/>
            </w:tcBorders>
          </w:tcPr>
          <w:p>
            <w:pPr>
              <w:spacing w:after="0"/>
              <w:rPr>
                <w:sz w:val="19"/>
                <w:szCs w:val="19"/>
                <w:color w:val="auto"/>
              </w:rPr>
            </w:pPr>
          </w:p>
        </w:tc>
        <w:tc>
          <w:tcPr>
            <w:tcW w:w="2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ownership</w:t>
            </w:r>
          </w:p>
        </w:tc>
        <w:tc>
          <w:tcPr>
            <w:tcW w:w="218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r>
      <w:tr>
        <w:trPr>
          <w:trHeight w:val="221"/>
        </w:trPr>
        <w:tc>
          <w:tcPr>
            <w:tcW w:w="1180" w:type="dxa"/>
            <w:vAlign w:val="bottom"/>
            <w:tcBorders>
              <w:left w:val="single" w:sz="8" w:color="auto"/>
              <w:right w:val="single" w:sz="8" w:color="auto"/>
            </w:tcBorders>
          </w:tcPr>
          <w:p>
            <w:pPr>
              <w:spacing w:after="0"/>
              <w:rPr>
                <w:sz w:val="19"/>
                <w:szCs w:val="19"/>
                <w:color w:val="auto"/>
              </w:rPr>
            </w:pPr>
          </w:p>
        </w:tc>
        <w:tc>
          <w:tcPr>
            <w:tcW w:w="2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Option Exercise</w:t>
            </w:r>
          </w:p>
        </w:tc>
        <w:tc>
          <w:tcPr>
            <w:tcW w:w="218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r>
      <w:tr>
        <w:trPr>
          <w:trHeight w:val="29"/>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20"/>
        </w:trPr>
        <w:tc>
          <w:tcPr>
            <w:tcW w:w="1180" w:type="dxa"/>
            <w:vAlign w:val="bottom"/>
            <w:tcBorders>
              <w:left w:val="single" w:sz="8" w:color="auto"/>
              <w:right w:val="single" w:sz="8" w:color="auto"/>
            </w:tcBorders>
          </w:tcPr>
          <w:p>
            <w:pPr>
              <w:spacing w:after="0"/>
              <w:rPr>
                <w:sz w:val="19"/>
                <w:szCs w:val="19"/>
                <w:color w:val="auto"/>
              </w:rPr>
            </w:pPr>
          </w:p>
        </w:tc>
        <w:tc>
          <w:tcPr>
            <w:tcW w:w="2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Gift</w:t>
            </w:r>
          </w:p>
        </w:tc>
        <w:tc>
          <w:tcPr>
            <w:tcW w:w="218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r>
      <w:tr>
        <w:trPr>
          <w:trHeight w:val="29"/>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Trading price or price range in dollars and cents (e.g. specific price or “at market”)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Certifying Statement:</w:t>
      </w:r>
    </w:p>
    <w:p>
      <w:pPr>
        <w:spacing w:after="0" w:line="28" w:lineRule="exact"/>
        <w:rPr>
          <w:sz w:val="20"/>
          <w:szCs w:val="20"/>
          <w:color w:val="auto"/>
        </w:rPr>
      </w:pPr>
    </w:p>
    <w:p>
      <w:pPr>
        <w:jc w:val="both"/>
        <w:ind w:right="280"/>
        <w:spacing w:after="0" w:line="252" w:lineRule="auto"/>
        <w:rPr>
          <w:sz w:val="20"/>
          <w:szCs w:val="20"/>
          <w:color w:val="auto"/>
        </w:rPr>
      </w:pPr>
      <w:r>
        <w:rPr>
          <w:rFonts w:ascii="Times New Roman" w:cs="Times New Roman" w:eastAsia="Times New Roman" w:hAnsi="Times New Roman"/>
          <w:sz w:val="17"/>
          <w:szCs w:val="17"/>
          <w:color w:val="auto"/>
        </w:rPr>
        <w:t>By submitting the request to pre-clear a transaction in the Company’s common shares described in this e-mail, I hereby represent and warrant that I am not aware of any material nonpublic information relating to the Company and/or any of its subsidiaries and that this proposed transaction will be effected in full compliance with the Company’s insider trading policies. I understand and acknowledge that information is “material,” if it is a fact that the reasonable investor would likely consider important when making a decision to buy, hold or sell Company securities, and that “nonpublic” information is any information about the Company, its subsidiaries and/or its business that is not reasonably accessible to the investing public. I acknowledge and agree that the Company will rely on my representations set forth above in pre-clearing the transactions described in this form. I agree that I will inform the Company immediately by e-mail directed to its Compliance Officer in the event I become aware of any material nonpublic information before the transaction referred to in this form is effected and I understand that in such event it will be my obligation to inform the brokerage used by me in executing this transaction to discontinue any further trading activities on my behalf. I understand and acknowledge that any violation of the insider trading laws is a serious offense that may subject me to criminal and civil liability and penalties.</w:t>
      </w:r>
    </w:p>
    <w:p>
      <w:pPr>
        <w:spacing w:after="0" w:line="7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I understand that any approval granted for a trade request shall only remain valid for the two trading days following the date of receipt of approval, and if the approved trade is not executed within such timeframe, I am required to seek new approval from the Compliance Officer prior to engaging in any trade.</w:t>
      </w:r>
    </w:p>
    <w:p>
      <w:pPr>
        <w:spacing w:after="0" w:line="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Additionally, if I am a Restricted Person subject to the requirements of Section 16 of the Exchange Act of 1934, I hereby represent and warrant that the proposed trade (i) does not trigger any short swing profits under Section 16 of the Exchange Act of 1934, and (ii) if applicable, will be conducted in accordance with Rule 144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6510020" cy="12541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3">
                      <a:extLst>
                        <a:ext uri="{28A0092B-C50C-407E-A947-70E740481C1C}"/>
                      </a:extLst>
                    </a:blip>
                    <a:srcRect/>
                    <a:stretch>
                      <a:fillRect/>
                    </a:stretch>
                  </pic:blipFill>
                  <pic:spPr bwMode="auto">
                    <a:xfrm>
                      <a:off x="0" y="0"/>
                      <a:ext cx="6510020" cy="1254125"/>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17"/>
          <w:szCs w:val="17"/>
          <w:b w:val="1"/>
          <w:bCs w:val="1"/>
          <w:color w:val="auto"/>
        </w:rPr>
        <w:t>Approval:</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Signature</w:t>
      </w:r>
    </w:p>
    <w:p>
      <w:pPr>
        <w:spacing w:after="0" w:line="3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Trade approved through:</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Printed Name</w:t>
            </w:r>
          </w:p>
        </w:tc>
        <w:tc>
          <w:tcPr>
            <w:tcW w:w="2800" w:type="dxa"/>
            <w:vAlign w:val="bottom"/>
          </w:tcPr>
          <w:p>
            <w:pPr>
              <w:ind w:left="1700"/>
              <w:spacing w:after="0"/>
              <w:rPr>
                <w:sz w:val="20"/>
                <w:szCs w:val="20"/>
                <w:color w:val="auto"/>
              </w:rPr>
            </w:pPr>
            <w:r>
              <w:rPr>
                <w:rFonts w:ascii="Times New Roman" w:cs="Times New Roman" w:eastAsia="Times New Roman" w:hAnsi="Times New Roman"/>
                <w:sz w:val="17"/>
                <w:szCs w:val="17"/>
                <w:color w:val="auto"/>
                <w:w w:val="99"/>
              </w:rPr>
              <w:t>Request denied.</w:t>
            </w:r>
          </w:p>
        </w:tc>
      </w:tr>
    </w:tbl>
    <w:p>
      <w:pPr>
        <w:spacing w:after="0" w:line="27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Signature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w:t>
      </w:r>
    </w:p>
    <w:p>
      <w:pPr>
        <w:sectPr>
          <w:pgSz w:w="11900" w:h="16838" w:orient="portrait"/>
          <w:cols w:equalWidth="0" w:num="1">
            <w:col w:w="11060"/>
          </w:cols>
          <w:pgMar w:left="500" w:top="1152"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JAMES RIVER GROUP HOLDINGS, LTD.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 or Formation</w:t>
            </w:r>
          </w:p>
        </w:tc>
      </w:tr>
      <w:tr>
        <w:trPr>
          <w:trHeight w:val="217"/>
        </w:trPr>
        <w:tc>
          <w:tcPr>
            <w:tcW w:w="5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Falls Lake Fire and Casualty Company</w:t>
            </w:r>
          </w:p>
        </w:tc>
        <w:tc>
          <w:tcPr>
            <w:tcW w:w="440" w:type="dxa"/>
            <w:vAlign w:val="bottom"/>
          </w:tcPr>
          <w:p>
            <w:pPr>
              <w:spacing w:after="0"/>
              <w:rPr>
                <w:sz w:val="18"/>
                <w:szCs w:val="18"/>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2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Falls Lake Insurance Management Company, Inc.</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Falls Lake National Insurance Company</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2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Franklin Holdings II (Bermuda) Capital Trust I</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Capital Trust I</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Capital Trust II</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Capital Trust III</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Capital Trust IV</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Casualty Company</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2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Group Holdings UK Limited</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Group, Inc.</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Insurance Company</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2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Management Company, Inc.</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Richmond Real Estate, LLC</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2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TPA Services, Inc.</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3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Stonewood Insurance Company</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r>
    </w:tbl>
    <w:p>
      <w:pPr>
        <w:sectPr>
          <w:pgSz w:w="11900" w:h="16838" w:orient="portrait"/>
          <w:cols w:equalWidth="0" w:num="1">
            <w:col w:w="11240"/>
          </w:cols>
          <w:pgMar w:left="320" w:top="883"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56" w:lineRule="exact"/>
        <w:rPr>
          <w:sz w:val="20"/>
          <w:szCs w:val="20"/>
          <w:color w:val="auto"/>
        </w:rPr>
      </w:pPr>
    </w:p>
    <w:p>
      <w:pPr>
        <w:ind w:left="20" w:right="460"/>
        <w:spacing w:after="0" w:line="249" w:lineRule="auto"/>
        <w:rPr>
          <w:sz w:val="20"/>
          <w:szCs w:val="20"/>
          <w:color w:val="auto"/>
        </w:rPr>
      </w:pPr>
      <w:r>
        <w:rPr>
          <w:rFonts w:ascii="Times New Roman" w:cs="Times New Roman" w:eastAsia="Times New Roman" w:hAnsi="Times New Roman"/>
          <w:sz w:val="18"/>
          <w:szCs w:val="18"/>
          <w:color w:val="auto"/>
        </w:rPr>
        <w:t>Registration Statement (Form S-8 Nos. 333-200995, 333-217743, 333-231200, 333-268114, 333-283157 and 333-283159) pertaining to the Amended and Restated Equity Incentive Plan, 2014 Long-Term Incentive Plan, as amended, and 2014 Non-Employee Director Incentive Plan, as amended, of James River Group Holdings, Ltd.;</w:t>
      </w:r>
    </w:p>
    <w:p>
      <w:pPr>
        <w:spacing w:after="0" w:line="202"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color w:val="auto"/>
        </w:rPr>
        <w:t>of our reports dated March 4, 2025, with respect to the consolidated financial statements and schedules of James River Group Holdings, Ltd. and the effectiveness of internal control over financial reporting of James River Group Holdings, Ltd. included in this Annual Report (Form 10-K) of James River Group Holdings, Ltd. for the year ended December 31,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2025</w:t>
      </w:r>
    </w:p>
    <w:p>
      <w:pPr>
        <w:sectPr>
          <w:pgSz w:w="11900" w:h="16838" w:orient="portrait"/>
          <w:cols w:equalWidth="0" w:num="1">
            <w:col w:w="11240"/>
          </w:cols>
          <w:pgMar w:left="320" w:top="883"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N. D'Orazio, certify that:</w:t>
      </w:r>
    </w:p>
    <w:p>
      <w:pPr>
        <w:spacing w:after="0" w:line="115" w:lineRule="exact"/>
        <w:rPr>
          <w:sz w:val="20"/>
          <w:szCs w:val="20"/>
          <w:color w:val="auto"/>
        </w:rPr>
      </w:pPr>
    </w:p>
    <w:p>
      <w:pPr>
        <w:ind w:left="660" w:hanging="330"/>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James River Group Holdings, Ltd.;</w:t>
      </w:r>
    </w:p>
    <w:p>
      <w:pPr>
        <w:spacing w:after="0" w:line="115" w:lineRule="exact"/>
        <w:rPr>
          <w:rFonts w:ascii="Times New Roman" w:cs="Times New Roman" w:eastAsia="Times New Roman" w:hAnsi="Times New Roman"/>
          <w:sz w:val="18"/>
          <w:szCs w:val="18"/>
          <w:color w:val="auto"/>
        </w:rPr>
      </w:pPr>
    </w:p>
    <w:p>
      <w:pPr>
        <w:jc w:val="both"/>
        <w:ind w:left="660" w:right="160" w:hanging="330"/>
        <w:spacing w:after="0" w:line="264"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660" w:right="140" w:hanging="330"/>
        <w:spacing w:after="0" w:line="280"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660" w:right="160" w:hanging="330"/>
        <w:spacing w:after="0" w:line="264"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300" w:right="180" w:hanging="325"/>
        <w:spacing w:after="0" w:line="264" w:lineRule="auto"/>
        <w:tabs>
          <w:tab w:leader="none" w:pos="129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300" w:right="100" w:hanging="325"/>
        <w:spacing w:after="0" w:line="264" w:lineRule="auto"/>
        <w:tabs>
          <w:tab w:leader="none" w:pos="129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300" w:right="260" w:hanging="325"/>
        <w:spacing w:after="0" w:line="310" w:lineRule="auto"/>
        <w:tabs>
          <w:tab w:leader="none" w:pos="1297"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1300" w:right="260" w:hanging="325"/>
        <w:spacing w:after="0" w:line="264" w:lineRule="auto"/>
        <w:tabs>
          <w:tab w:leader="none" w:pos="129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9" w:lineRule="exact"/>
        <w:rPr>
          <w:rFonts w:ascii="Times New Roman" w:cs="Times New Roman" w:eastAsia="Times New Roman" w:hAnsi="Times New Roman"/>
          <w:sz w:val="18"/>
          <w:szCs w:val="18"/>
          <w:color w:val="auto"/>
        </w:rPr>
      </w:pPr>
    </w:p>
    <w:p>
      <w:pPr>
        <w:ind w:left="660" w:right="60" w:hanging="330"/>
        <w:spacing w:after="0" w:line="280"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300" w:right="500" w:hanging="325"/>
        <w:spacing w:after="0" w:line="280" w:lineRule="auto"/>
        <w:tabs>
          <w:tab w:leader="none" w:pos="129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300" w:right="200" w:hanging="325"/>
        <w:spacing w:after="0" w:line="280" w:lineRule="auto"/>
        <w:tabs>
          <w:tab w:leader="none" w:pos="129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2025</w:t>
      </w:r>
    </w:p>
    <w:p>
      <w:pPr>
        <w:spacing w:after="0" w:line="3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16510</wp:posOffset>
            </wp:positionV>
            <wp:extent cx="35496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4">
                      <a:extLst>
                        <a:ext uri="{28A0092B-C50C-407E-A947-70E740481C1C}"/>
                      </a:extLst>
                    </a:blip>
                    <a:srcRect/>
                    <a:stretch>
                      <a:fillRect/>
                    </a:stretch>
                  </pic:blipFill>
                  <pic:spPr bwMode="auto">
                    <a:xfrm>
                      <a:off x="0" y="0"/>
                      <a:ext cx="3549650" cy="8255"/>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Frank N. D'Orazio</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3"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C. Doran, certify that:</w:t>
      </w:r>
    </w:p>
    <w:p>
      <w:pPr>
        <w:spacing w:after="0" w:line="115" w:lineRule="exact"/>
        <w:rPr>
          <w:sz w:val="20"/>
          <w:szCs w:val="20"/>
          <w:color w:val="auto"/>
        </w:rPr>
      </w:pPr>
    </w:p>
    <w:p>
      <w:pPr>
        <w:ind w:left="660" w:hanging="330"/>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James River Group Holdings, Ltd.;</w:t>
      </w:r>
    </w:p>
    <w:p>
      <w:pPr>
        <w:spacing w:after="0" w:line="115" w:lineRule="exact"/>
        <w:rPr>
          <w:rFonts w:ascii="Times New Roman" w:cs="Times New Roman" w:eastAsia="Times New Roman" w:hAnsi="Times New Roman"/>
          <w:sz w:val="18"/>
          <w:szCs w:val="18"/>
          <w:color w:val="auto"/>
        </w:rPr>
      </w:pPr>
    </w:p>
    <w:p>
      <w:pPr>
        <w:jc w:val="both"/>
        <w:ind w:left="660" w:right="160" w:hanging="330"/>
        <w:spacing w:after="0" w:line="264"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660" w:right="140" w:hanging="330"/>
        <w:spacing w:after="0" w:line="280"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660" w:right="160" w:hanging="330"/>
        <w:spacing w:after="0" w:line="264"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300" w:right="180" w:hanging="325"/>
        <w:spacing w:after="0" w:line="264" w:lineRule="auto"/>
        <w:tabs>
          <w:tab w:leader="none" w:pos="1297"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300" w:right="100" w:hanging="325"/>
        <w:spacing w:after="0" w:line="264" w:lineRule="auto"/>
        <w:tabs>
          <w:tab w:leader="none" w:pos="129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300" w:right="260" w:hanging="325"/>
        <w:spacing w:after="0" w:line="310" w:lineRule="auto"/>
        <w:tabs>
          <w:tab w:leader="none" w:pos="1297"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1300" w:right="260" w:hanging="325"/>
        <w:spacing w:after="0" w:line="264" w:lineRule="auto"/>
        <w:tabs>
          <w:tab w:leader="none" w:pos="129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9" w:lineRule="exact"/>
        <w:rPr>
          <w:rFonts w:ascii="Times New Roman" w:cs="Times New Roman" w:eastAsia="Times New Roman" w:hAnsi="Times New Roman"/>
          <w:sz w:val="18"/>
          <w:szCs w:val="18"/>
          <w:color w:val="auto"/>
        </w:rPr>
      </w:pPr>
    </w:p>
    <w:p>
      <w:pPr>
        <w:ind w:left="660" w:right="60" w:hanging="330"/>
        <w:spacing w:after="0" w:line="280"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300" w:right="500" w:hanging="325"/>
        <w:spacing w:after="0" w:line="280" w:lineRule="auto"/>
        <w:tabs>
          <w:tab w:leader="none" w:pos="1297"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300" w:right="200" w:hanging="325"/>
        <w:spacing w:after="0" w:line="280" w:lineRule="auto"/>
        <w:tabs>
          <w:tab w:leader="none" w:pos="129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2025</w:t>
      </w: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16510</wp:posOffset>
            </wp:positionV>
            <wp:extent cx="35407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5">
                      <a:extLst>
                        <a:ext uri="{28A0092B-C50C-407E-A947-70E740481C1C}"/>
                      </a:extLst>
                    </a:blip>
                    <a:srcRect/>
                    <a:stretch>
                      <a:fillRect/>
                    </a:stretch>
                  </pic:blipFill>
                  <pic:spPr bwMode="auto">
                    <a:xfrm>
                      <a:off x="0" y="0"/>
                      <a:ext cx="3540760" cy="8255"/>
                    </a:xfrm>
                    <a:prstGeom prst="rect">
                      <a:avLst/>
                    </a:prstGeom>
                    <a:noFill/>
                  </pic:spPr>
                </pic:pic>
              </a:graphicData>
            </a:graphic>
          </wp:anchor>
        </w:drawing>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Sarah C. Doran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3"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12" w:lineRule="exact"/>
        <w:rPr>
          <w:sz w:val="20"/>
          <w:szCs w:val="20"/>
          <w:color w:val="auto"/>
        </w:rPr>
      </w:pPr>
    </w:p>
    <w:p>
      <w:pPr>
        <w:ind w:right="380" w:firstLine="645"/>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of James River Group Holdings, Ltd. (the “Company”) on Form 10-K for the period ended December 31, 2024 as filed with the Securities and Exchange Commission on the date hereof  (the “Report”), we, Frank N. D'Orazio, Chief Executive Officer of the Company, and Sarah C. Doran, Chief Financial Officer of the Company, certify, to the best of our knowledge, pursuant to 18 U.S.C. §1350, as adopted pursuant to §906 of the Sarbanes-Oxley Act of 2002, that:</w:t>
      </w:r>
    </w:p>
    <w:p>
      <w:pPr>
        <w:spacing w:after="0" w:line="74" w:lineRule="exact"/>
        <w:rPr>
          <w:sz w:val="20"/>
          <w:szCs w:val="20"/>
          <w:color w:val="auto"/>
        </w:rPr>
      </w:pPr>
    </w:p>
    <w:p>
      <w:pPr>
        <w:ind w:left="640" w:hanging="633"/>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5"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16510</wp:posOffset>
            </wp:positionV>
            <wp:extent cx="355790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6">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Frank N. D'Orazio</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March 4, 2025</w:t>
      </w: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16510</wp:posOffset>
            </wp:positionV>
            <wp:extent cx="355790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7">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Sarah C. Doran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March 4, 2025</w:t>
      </w:r>
    </w:p>
    <w:sectPr>
      <w:pgSz w:w="11900" w:h="16838" w:orient="portrait"/>
      <w:cols w:equalWidth="0" w:num="1">
        <w:col w:w="11240"/>
      </w:cols>
      <w:pgMar w:left="320" w:top="8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1)"/>
      <w:numFmt w:val="decimal"/>
      <w:start w:val="3"/>
    </w:lvl>
  </w:abstractNum>
  <w:abstractNum w:abstractNumId="5">
    <w:nsid w:val="749ABB43"/>
    <w:multiLevelType w:val="hybridMultilevel"/>
    <w:lvl w:ilvl="0">
      <w:lvlJc w:val="left"/>
      <w:lvlText w:val="(%1)"/>
      <w:numFmt w:val="decimal"/>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1)"/>
      <w:numFmt w:val="decimal"/>
      <w:start w:val="1"/>
    </w:lvl>
  </w:abstractNum>
  <w:abstractNum w:abstractNumId="10">
    <w:nsid w:val="12E685FB"/>
    <w:multiLevelType w:val="hybridMultilevel"/>
    <w:lvl w:ilvl="0">
      <w:lvlJc w:val="left"/>
      <w:lvlText w:val="(%1)"/>
      <w:numFmt w:val="decimal"/>
      <w:start w:val="5"/>
    </w:lvl>
  </w:abstractNum>
  <w:abstractNum w:abstractNumId="11">
    <w:nsid w:val="70C6A529"/>
    <w:multiLevelType w:val="hybridMultilevel"/>
    <w:lvl w:ilvl="0">
      <w:lvlJc w:val="left"/>
      <w:lvlText w:val="&amp;"/>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1)"/>
      <w:numFmt w:val="decimal"/>
      <w:start w:val="1"/>
    </w:lvl>
  </w:abstractNum>
  <w:abstractNum w:abstractNumId="29">
    <w:nsid w:val="61574095"/>
    <w:multiLevelType w:val="hybridMultilevel"/>
    <w:lvl w:ilvl="0">
      <w:lvlJc w:val="left"/>
      <w:lvlText w:val="(%1)"/>
      <w:numFmt w:val="decimal"/>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1)"/>
      <w:numFmt w:val="decimal"/>
      <w:start w:val="1"/>
    </w:lvl>
  </w:abstractNum>
  <w:abstractNum w:abstractNumId="32">
    <w:nsid w:val="579BE4F1"/>
    <w:multiLevelType w:val="hybridMultilevel"/>
    <w:lvl w:ilvl="0">
      <w:lvlJc w:val="left"/>
      <w:lvlText w:val="(%1)"/>
      <w:numFmt w:val="decimal"/>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1)"/>
      <w:numFmt w:val="decimal"/>
      <w:start w:val="1"/>
    </w:lvl>
  </w:abstractNum>
  <w:abstractNum w:abstractNumId="35">
    <w:nsid w:val="2F305DEF"/>
    <w:multiLevelType w:val="hybridMultilevel"/>
    <w:lvl w:ilvl="0">
      <w:lvlJc w:val="left"/>
      <w:lvlText w:val="(%1)"/>
      <w:numFmt w:val="lowerLetter"/>
      <w:start w:val="1"/>
    </w:lvl>
  </w:abstractNum>
  <w:abstractNum w:abstractNumId="36">
    <w:nsid w:val="25A70BF7"/>
    <w:multiLevelType w:val="hybridMultilevel"/>
    <w:lvl w:ilvl="0">
      <w:lvlJc w:val="left"/>
      <w:lvlText w:val="*"/>
      <w:numFmt w:val="bullet"/>
      <w:start w:val="1"/>
    </w:lvl>
    <w:lvl w:ilvl="1">
      <w:lvlJc w:val="left"/>
      <w:lvlText w:val="%2"/>
      <w:numFmt w:val="decimal"/>
      <w:start w:val="104"/>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1)"/>
      <w:numFmt w:val="decimal"/>
      <w:start w:val="2"/>
    </w:lvl>
  </w:abstractNum>
  <w:abstractNum w:abstractNumId="39">
    <w:nsid w:val="1F48EAA1"/>
    <w:multiLevelType w:val="hybridMultilevel"/>
    <w:lvl w:ilvl="0">
      <w:lvlJc w:val="left"/>
      <w:lvlText w:val="(%1)"/>
      <w:numFmt w:val="lowerLetter"/>
      <w:start w:val="1"/>
    </w:lvl>
  </w:abstractNum>
  <w:abstractNum w:abstractNumId="40">
    <w:nsid w:val="1381823A"/>
    <w:multiLevelType w:val="hybridMultilevel"/>
    <w:lvl w:ilvl="0">
      <w:lvlJc w:val="left"/>
      <w:lvlText w:val="%1."/>
      <w:numFmt w:val="decimal"/>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1."/>
      <w:numFmt w:val="decimal"/>
      <w:start w:val="3"/>
    </w:lvl>
  </w:abstractNum>
  <w:abstractNum w:abstractNumId="43">
    <w:nsid w:val="6590700B"/>
    <w:multiLevelType w:val="hybridMultilevel"/>
    <w:lvl w:ilvl="0">
      <w:lvlJc w:val="left"/>
      <w:lvlText w:val="(%1)"/>
      <w:numFmt w:val="lowerLetter"/>
      <w:start w:val="1"/>
    </w:lvl>
  </w:abstractNum>
  <w:abstractNum w:abstractNumId="44">
    <w:nsid w:val="15014ACB"/>
    <w:multiLevelType w:val="hybridMultilevel"/>
    <w:lvl w:ilvl="0">
      <w:lvlJc w:val="left"/>
      <w:lvlText w:val="(%1)"/>
      <w:numFmt w:val="lowerLetter"/>
      <w:start w:val="3"/>
    </w:lvl>
  </w:abstractNum>
  <w:abstractNum w:abstractNumId="45">
    <w:nsid w:val="5F5E7FD0"/>
    <w:multiLevelType w:val="hybridMultilevel"/>
    <w:lvl w:ilvl="0">
      <w:lvlJc w:val="left"/>
      <w:lvlText w:val="%1."/>
      <w:numFmt w:val="decimal"/>
      <w:start w:val="4"/>
    </w:lvl>
  </w:abstractNum>
  <w:abstractNum w:abstractNumId="46">
    <w:nsid w:val="98A3148"/>
    <w:multiLevelType w:val="hybridMultilevel"/>
    <w:lvl w:ilvl="0">
      <w:lvlJc w:val="left"/>
      <w:lvlText w:val="%1."/>
      <w:numFmt w:val="decimal"/>
      <w:start w:val="6"/>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1."/>
      <w:numFmt w:val="decimal"/>
      <w:start w:val="1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1)"/>
      <w:numFmt w:val="decimal"/>
      <w:start w:val="1"/>
    </w:lvl>
  </w:abstractNum>
  <w:abstractNum w:abstractNumId="53">
    <w:nsid w:val="5DC79EA8"/>
    <w:multiLevelType w:val="hybridMultilevel"/>
    <w:lvl w:ilvl="0">
      <w:lvlJc w:val="left"/>
      <w:lvlText w:val="(%1)"/>
      <w:numFmt w:val="decimal"/>
      <w:start w:val="1"/>
    </w:lvl>
  </w:abstractNum>
  <w:abstractNum w:abstractNumId="54">
    <w:nsid w:val="540A471C"/>
    <w:multiLevelType w:val="hybridMultilevel"/>
    <w:lvl w:ilvl="0">
      <w:lvlJc w:val="left"/>
      <w:lvlText w:val="%1."/>
      <w:numFmt w:val="decimal"/>
      <w:start w:val="1"/>
    </w:lvl>
  </w:abstractNum>
  <w:abstractNum w:abstractNumId="55">
    <w:nsid w:val="7BD3EE7B"/>
    <w:multiLevelType w:val="hybridMultilevel"/>
    <w:lvl w:ilvl="0">
      <w:lvlJc w:val="left"/>
      <w:lvlText w:val="(%1)"/>
      <w:numFmt w:val="lowerLetter"/>
      <w:start w:val="1"/>
    </w:lvl>
  </w:abstractNum>
  <w:abstractNum w:abstractNumId="56">
    <w:nsid w:val="51D9C564"/>
    <w:multiLevelType w:val="hybridMultilevel"/>
    <w:lvl w:ilvl="0">
      <w:lvlJc w:val="left"/>
      <w:lvlText w:val="%1"/>
      <w:numFmt w:val="lowerLetter"/>
      <w:start w:val="1"/>
    </w:lvl>
    <w:lvl w:ilvl="1">
      <w:lvlJc w:val="left"/>
      <w:lvlText w:val="(%2)"/>
      <w:numFmt w:val="lowerLetter"/>
      <w:start w:val="2"/>
    </w:lvl>
  </w:abstractNum>
  <w:abstractNum w:abstractNumId="57">
    <w:nsid w:val="613EFDC5"/>
    <w:multiLevelType w:val="hybridMultilevel"/>
    <w:lvl w:ilvl="0">
      <w:lvlJc w:val="left"/>
      <w:lvlText w:val="(%1)"/>
      <w:numFmt w:val="lowerLetter"/>
      <w:start w:val="61"/>
    </w:lvl>
    <w:lvl w:ilvl="1">
      <w:lvlJc w:val="left"/>
      <w:lvlText w:val="%2"/>
      <w:numFmt w:val="lowerLetter"/>
      <w:start w:val="1"/>
    </w:lvl>
  </w:abstractNum>
  <w:abstractNum w:abstractNumId="58">
    <w:nsid w:val="BF72B14"/>
    <w:multiLevelType w:val="hybridMultilevel"/>
    <w:lvl w:ilvl="0">
      <w:lvlJc w:val="left"/>
      <w:lvlText w:val="(%1)"/>
      <w:numFmt w:val="lowerLetter"/>
      <w:start w:val="1"/>
    </w:lvl>
  </w:abstractNum>
  <w:abstractNum w:abstractNumId="59">
    <w:nsid w:val="11447B73"/>
    <w:multiLevelType w:val="hybridMultilevel"/>
    <w:lvl w:ilvl="0">
      <w:lvlJc w:val="left"/>
      <w:lvlText w:val="(%1)"/>
      <w:numFmt w:val="lowerLetter"/>
      <w:start w:val="1"/>
    </w:lvl>
  </w:abstractNum>
  <w:abstractNum w:abstractNumId="60">
    <w:nsid w:val="42963E5A"/>
    <w:multiLevelType w:val="hybridMultilevel"/>
    <w:lvl w:ilvl="0">
      <w:lvlJc w:val="left"/>
      <w:lvlText w:val="(%1)"/>
      <w:numFmt w:val="lowerLetter"/>
      <w:start w:val="2"/>
    </w:lvl>
  </w:abstractNum>
  <w:abstractNum w:abstractNumId="61">
    <w:nsid w:val="A0382C5"/>
    <w:multiLevelType w:val="hybridMultilevel"/>
    <w:lvl w:ilvl="0">
      <w:lvlJc w:val="left"/>
      <w:lvlText w:val="(%1)"/>
      <w:numFmt w:val="lowerLetter"/>
      <w:start w:val="1"/>
    </w:lvl>
  </w:abstractNum>
  <w:abstractNum w:abstractNumId="62">
    <w:nsid w:val="8F2B15E"/>
    <w:multiLevelType w:val="hybridMultilevel"/>
    <w:lvl w:ilvl="0">
      <w:lvlJc w:val="left"/>
      <w:lvlText w:val="(%1)"/>
      <w:numFmt w:val="lowerLetter"/>
      <w:start w:val="4"/>
    </w:lvl>
  </w:abstractNum>
  <w:abstractNum w:abstractNumId="63">
    <w:nsid w:val="1A32234B"/>
    <w:multiLevelType w:val="hybridMultilevel"/>
    <w:lvl w:ilvl="0">
      <w:lvlJc w:val="left"/>
      <w:lvlText w:val="(%1)"/>
      <w:numFmt w:val="lowerLetter"/>
      <w:start w:val="10"/>
    </w:lvl>
  </w:abstractNum>
  <w:abstractNum w:abstractNumId="64">
    <w:nsid w:val="3B0FD379"/>
    <w:multiLevelType w:val="hybridMultilevel"/>
    <w:lvl w:ilvl="0">
      <w:lvlJc w:val="left"/>
      <w:lvlText w:val="(%1)"/>
      <w:numFmt w:val="lowerLetter"/>
      <w:start w:val="13"/>
    </w:lvl>
  </w:abstractNum>
  <w:abstractNum w:abstractNumId="65">
    <w:nsid w:val="68EB2F63"/>
    <w:multiLevelType w:val="hybridMultilevel"/>
    <w:lvl w:ilvl="0">
      <w:lvlJc w:val="left"/>
      <w:lvlText w:val="(%1)"/>
      <w:numFmt w:val="lowerLetter"/>
      <w:start w:val="1"/>
    </w:lvl>
  </w:abstractNum>
  <w:abstractNum w:abstractNumId="66">
    <w:nsid w:val="4962813B"/>
    <w:multiLevelType w:val="hybridMultilevel"/>
    <w:lvl w:ilvl="0">
      <w:lvlJc w:val="left"/>
      <w:lvlText w:val="(%1)"/>
      <w:numFmt w:val="lowerLetter"/>
      <w:start w:val="2"/>
    </w:lvl>
  </w:abstractNum>
  <w:abstractNum w:abstractNumId="67">
    <w:nsid w:val="60B6DF70"/>
    <w:multiLevelType w:val="hybridMultilevel"/>
    <w:lvl w:ilvl="0">
      <w:lvlJc w:val="left"/>
      <w:lvlText w:val="(%1)"/>
      <w:numFmt w:val="lowerLetter"/>
      <w:start w:val="1"/>
    </w:lvl>
  </w:abstractNum>
  <w:abstractNum w:abstractNumId="68">
    <w:nsid w:val="6A5EE64"/>
    <w:multiLevelType w:val="hybridMultilevel"/>
    <w:lvl w:ilvl="0">
      <w:lvlJc w:val="left"/>
      <w:lvlText w:val="(%1)"/>
      <w:numFmt w:val="lowerLetter"/>
      <w:start w:val="1"/>
    </w:lvl>
  </w:abstractNum>
  <w:abstractNum w:abstractNumId="69">
    <w:nsid w:val="14330624"/>
    <w:multiLevelType w:val="hybridMultilevel"/>
    <w:lvl w:ilvl="0">
      <w:lvlJc w:val="left"/>
      <w:lvlText w:val="(%1)"/>
      <w:numFmt w:val="lowerLetter"/>
      <w:start w:val="1"/>
    </w:lvl>
  </w:abstractNum>
  <w:abstractNum w:abstractNumId="70">
    <w:nsid w:val="7FFFCA11"/>
    <w:multiLevelType w:val="hybridMultilevel"/>
    <w:lvl w:ilvl="0">
      <w:lvlJc w:val="left"/>
      <w:lvlText w:val="(%1)"/>
      <w:numFmt w:val="lowerLetter"/>
      <w:start w:val="2"/>
    </w:lvl>
  </w:abstractNum>
  <w:abstractNum w:abstractNumId="71">
    <w:nsid w:val="1A27709E"/>
    <w:multiLevelType w:val="hybridMultilevel"/>
    <w:lvl w:ilvl="0">
      <w:lvlJc w:val="left"/>
      <w:lvlText w:val="(%1)"/>
      <w:numFmt w:val="lowerLetter"/>
      <w:start w:val="3"/>
    </w:lvl>
  </w:abstractNum>
  <w:abstractNum w:abstractNumId="72">
    <w:nsid w:val="71EA1109"/>
    <w:multiLevelType w:val="hybridMultilevel"/>
    <w:lvl w:ilvl="0">
      <w:lvlJc w:val="left"/>
      <w:lvlText w:val="%1."/>
      <w:numFmt w:val="decimal"/>
      <w:start w:val="1"/>
    </w:lvl>
  </w:abstractNum>
  <w:abstractNum w:abstractNumId="73">
    <w:nsid w:val="100F59DC"/>
    <w:multiLevelType w:val="hybridMultilevel"/>
    <w:lvl w:ilvl="0">
      <w:lvlJc w:val="left"/>
      <w:lvlText w:val="%1."/>
      <w:numFmt w:val="decimal"/>
      <w:start w:val="2"/>
    </w:lvl>
  </w:abstractNum>
  <w:abstractNum w:abstractNumId="74">
    <w:nsid w:val="7FB7E0AA"/>
    <w:multiLevelType w:val="hybridMultilevel"/>
    <w:lvl w:ilvl="0">
      <w:lvlJc w:val="left"/>
      <w:lvlText w:val="%1."/>
      <w:numFmt w:val="upperLetter"/>
      <w:start w:val="9"/>
    </w:lvl>
    <w:lvl w:ilvl="1">
      <w:lvlJc w:val="left"/>
      <w:lvlText w:val="%2."/>
      <w:numFmt w:val="upperLetter"/>
      <w:start w:val="1"/>
    </w:lvl>
  </w:abstractNum>
  <w:abstractNum w:abstractNumId="75">
    <w:nsid w:val="6EB5BD4"/>
    <w:multiLevelType w:val="hybridMultilevel"/>
    <w:lvl w:ilvl="0">
      <w:lvlJc w:val="left"/>
      <w:lvlText w:val="%1."/>
      <w:numFmt w:val="upperLetter"/>
      <w:start w:val="2"/>
    </w:lvl>
  </w:abstractNum>
  <w:abstractNum w:abstractNumId="76">
    <w:nsid w:val="6F6DD9AC"/>
    <w:multiLevelType w:val="hybridMultilevel"/>
    <w:lvl w:ilvl="0">
      <w:lvlJc w:val="left"/>
      <w:lvlText w:val="%1"/>
      <w:numFmt w:val="upperLetter"/>
      <w:start w:val="1"/>
    </w:lvl>
    <w:lvl w:ilvl="1">
      <w:lvlJc w:val="left"/>
      <w:lvlText w:val="%2."/>
      <w:numFmt w:val="upperLetter"/>
      <w:start w:val="4"/>
    </w:lvl>
  </w:abstractNum>
  <w:abstractNum w:abstractNumId="77">
    <w:nsid w:val="94211F2"/>
    <w:multiLevelType w:val="hybridMultilevel"/>
    <w:lvl w:ilvl="0">
      <w:lvlJc w:val="left"/>
      <w:lvlText w:val="%1."/>
      <w:numFmt w:val="upperLetter"/>
      <w:start w:val="35"/>
    </w:lvl>
    <w:lvl w:ilvl="1">
      <w:lvlJc w:val="left"/>
      <w:lvlText w:val="%2"/>
      <w:numFmt w:val="upperLetter"/>
      <w:start w:val="1"/>
    </w:lvl>
  </w:abstractNum>
  <w:abstractNum w:abstractNumId="78">
    <w:nsid w:val="885E1B"/>
    <w:multiLevelType w:val="hybridMultilevel"/>
    <w:lvl w:ilvl="0">
      <w:lvlJc w:val="left"/>
      <w:lvlText w:val="%1."/>
      <w:numFmt w:val="upperLetter"/>
      <w:start w:val="61"/>
    </w:lvl>
    <w:lvl w:ilvl="1">
      <w:lvlJc w:val="left"/>
      <w:lvlText w:val="%2."/>
      <w:numFmt w:val="upperLetter"/>
      <w:start w:val="1"/>
    </w:lvl>
    <w:lvl w:ilvl="2">
      <w:lvlJc w:val="left"/>
      <w:lvlText w:val="•"/>
      <w:numFmt w:val="bullet"/>
      <w:start w:val="1"/>
    </w:lvl>
  </w:abstractNum>
  <w:abstractNum w:abstractNumId="79">
    <w:nsid w:val="76272110"/>
    <w:multiLevelType w:val="hybridMultilevel"/>
    <w:lvl w:ilvl="0">
      <w:lvlJc w:val="left"/>
      <w:lvlText w:val="%1."/>
      <w:numFmt w:val="upperLetter"/>
      <w:start w:val="2"/>
    </w:lvl>
  </w:abstractNum>
  <w:abstractNum w:abstractNumId="80">
    <w:nsid w:val="4C04A8AF"/>
    <w:multiLevelType w:val="hybridMultilevel"/>
    <w:lvl w:ilvl="0">
      <w:lvlJc w:val="left"/>
      <w:lvlText w:val="%1."/>
      <w:numFmt w:val="upperLetter"/>
      <w:start w:val="1"/>
    </w:lvl>
    <w:lvl w:ilvl="1">
      <w:lvlJc w:val="left"/>
      <w:lvlText w:val="%2."/>
      <w:numFmt w:val="decimal"/>
      <w:start w:val="1"/>
    </w:lvl>
  </w:abstractNum>
  <w:abstractNum w:abstractNumId="81">
    <w:nsid w:val="1716703B"/>
    <w:multiLevelType w:val="hybridMultilevel"/>
    <w:lvl w:ilvl="0">
      <w:lvlJc w:val="left"/>
      <w:lvlText w:val="%1."/>
      <w:numFmt w:val="decimal"/>
      <w:start w:val="3"/>
    </w:lvl>
  </w:abstractNum>
  <w:abstractNum w:abstractNumId="82">
    <w:nsid w:val="14E17E33"/>
    <w:multiLevelType w:val="hybridMultilevel"/>
    <w:lvl w:ilvl="0">
      <w:lvlJc w:val="left"/>
      <w:lvlText w:val="%1"/>
      <w:numFmt w:val="upperLetter"/>
      <w:start w:val="1"/>
    </w:lvl>
    <w:lvl w:ilvl="1">
      <w:lvlJc w:val="left"/>
      <w:lvlText w:val="%2"/>
      <w:numFmt w:val="decimal"/>
      <w:start w:val="1"/>
    </w:lvl>
    <w:lvl w:ilvl="2">
      <w:lvlJc w:val="left"/>
      <w:lvlText w:val="%3."/>
      <w:numFmt w:val="decimal"/>
      <w:start w:val="8"/>
    </w:lvl>
  </w:abstractNum>
  <w:abstractNum w:abstractNumId="83">
    <w:nsid w:val="3222E7CD"/>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abstractNum>
  <w:abstractNum w:abstractNumId="84">
    <w:nsid w:val="74DE0EE3"/>
    <w:multiLevelType w:val="hybridMultilevel"/>
    <w:lvl w:ilvl="0">
      <w:lvlJc w:val="left"/>
      <w:lvlText w:val="%1"/>
      <w:numFmt w:val="decimal"/>
      <w:start w:val="1"/>
    </w:lvl>
    <w:lvl w:ilvl="1">
      <w:lvlJc w:val="left"/>
      <w:lvlText w:val="%2."/>
      <w:numFmt w:val="lowerLetter"/>
      <w:start w:val="1"/>
    </w:lvl>
  </w:abstractNum>
  <w:abstractNum w:abstractNumId="85">
    <w:nsid w:val="68EBC550"/>
    <w:multiLevelType w:val="hybridMultilevel"/>
    <w:lvl w:ilvl="0">
      <w:lvlJc w:val="left"/>
      <w:lvlText w:val="%1."/>
      <w:numFmt w:val="decimal"/>
      <w:start w:val="2"/>
    </w:lvl>
    <w:lvl w:ilvl="1">
      <w:lvlJc w:val="left"/>
      <w:lvlText w:val="%2"/>
      <w:numFmt w:val="lowerLetter"/>
      <w:start w:val="1"/>
    </w:lvl>
  </w:abstractNum>
  <w:abstractNum w:abstractNumId="86">
    <w:nsid w:val="2DF6D648"/>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87">
    <w:nsid w:val="46B7D447"/>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88">
    <w:nsid w:val="4A2AC315"/>
    <w:multiLevelType w:val="hybridMultilevel"/>
    <w:lvl w:ilvl="0">
      <w:lvlJc w:val="left"/>
      <w:lvlText w:val="%1."/>
      <w:numFmt w:val="upperLetter"/>
      <w:start w:val="4"/>
    </w:lvl>
  </w:abstractNum>
  <w:abstractNum w:abstractNumId="89">
    <w:nsid w:val="39EE015C"/>
    <w:multiLevelType w:val="hybridMultilevel"/>
    <w:lvl w:ilvl="0">
      <w:lvlJc w:val="left"/>
      <w:lvlText w:val="%1."/>
      <w:numFmt w:val="upperLetter"/>
      <w:start w:val="6"/>
    </w:lvl>
  </w:abstractNum>
  <w:abstractNum w:abstractNumId="90">
    <w:nsid w:val="57FC4FBB"/>
    <w:multiLevelType w:val="hybridMultilevel"/>
    <w:lvl w:ilvl="0">
      <w:lvlJc w:val="left"/>
      <w:lvlText w:val="%1."/>
      <w:numFmt w:val="upperLetter"/>
      <w:start w:val="22"/>
    </w:lvl>
    <w:lvl w:ilvl="1">
      <w:lvlJc w:val="left"/>
      <w:lvlText w:val="%2."/>
      <w:numFmt w:val="upp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lvl w:ilvl="1">
      <w:lvlJc w:val="left"/>
      <w:lvlText w:val="(%2)"/>
      <w:numFmt w:val="lowerLetter"/>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30"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76" Type="http://schemas.openxmlformats.org/officeDocument/2006/relationships/image" Target="media/image119.png"/><Relationship Id="rId177" Type="http://schemas.openxmlformats.org/officeDocument/2006/relationships/image" Target="media/image120.png"/><Relationship Id="rId179" Type="http://schemas.openxmlformats.org/officeDocument/2006/relationships/image" Target="media/image121.png"/><Relationship Id="rId180" Type="http://schemas.openxmlformats.org/officeDocument/2006/relationships/image" Target="media/image122.png"/><Relationship Id="rId181" Type="http://schemas.openxmlformats.org/officeDocument/2006/relationships/image" Target="media/image123.png"/><Relationship Id="rId182" Type="http://schemas.openxmlformats.org/officeDocument/2006/relationships/image" Target="media/image124.png"/><Relationship Id="rId183" Type="http://schemas.openxmlformats.org/officeDocument/2006/relationships/image" Target="media/image125.png"/><Relationship Id="rId184" Type="http://schemas.openxmlformats.org/officeDocument/2006/relationships/image" Target="media/image126.png"/><Relationship Id="rId185" Type="http://schemas.openxmlformats.org/officeDocument/2006/relationships/image" Target="media/image127.png"/><Relationship Id="rId186" Type="http://schemas.openxmlformats.org/officeDocument/2006/relationships/image" Target="media/image128.png"/><Relationship Id="rId187" Type="http://schemas.openxmlformats.org/officeDocument/2006/relationships/image" Target="media/image129.png"/><Relationship Id="rId188" Type="http://schemas.openxmlformats.org/officeDocument/2006/relationships/image" Target="media/image130.png"/><Relationship Id="rId189" Type="http://schemas.openxmlformats.org/officeDocument/2006/relationships/image" Target="media/image131.png"/><Relationship Id="rId190" Type="http://schemas.openxmlformats.org/officeDocument/2006/relationships/image" Target="media/image132.png"/><Relationship Id="rId191" Type="http://schemas.openxmlformats.org/officeDocument/2006/relationships/image" Target="media/image133.png"/><Relationship Id="rId192" Type="http://schemas.openxmlformats.org/officeDocument/2006/relationships/image" Target="media/image134.png"/><Relationship Id="rId193" Type="http://schemas.openxmlformats.org/officeDocument/2006/relationships/image" Target="media/image135.png"/><Relationship Id="rId194" Type="http://schemas.openxmlformats.org/officeDocument/2006/relationships/image" Target="media/image136.png"/><Relationship Id="rId195" Type="http://schemas.openxmlformats.org/officeDocument/2006/relationships/image" Target="media/image137.png"/><Relationship Id="rId196"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199" Type="http://schemas.openxmlformats.org/officeDocument/2006/relationships/image" Target="media/image141.png"/><Relationship Id="rId200" Type="http://schemas.openxmlformats.org/officeDocument/2006/relationships/image" Target="media/image142.png"/><Relationship Id="rId201" Type="http://schemas.openxmlformats.org/officeDocument/2006/relationships/image" Target="media/image143.png"/><Relationship Id="rId202" Type="http://schemas.openxmlformats.org/officeDocument/2006/relationships/image" Target="media/image144.png"/><Relationship Id="rId203" Type="http://schemas.openxmlformats.org/officeDocument/2006/relationships/image" Target="media/image145.png"/><Relationship Id="rId204" Type="http://schemas.openxmlformats.org/officeDocument/2006/relationships/image" Target="media/image146.png"/><Relationship Id="rId205" Type="http://schemas.openxmlformats.org/officeDocument/2006/relationships/image" Target="media/image147.png"/><Relationship Id="rId206" Type="http://schemas.openxmlformats.org/officeDocument/2006/relationships/image" Target="media/image148.png"/><Relationship Id="rId207" Type="http://schemas.openxmlformats.org/officeDocument/2006/relationships/image" Target="media/image149.png"/><Relationship Id="rId208" Type="http://schemas.openxmlformats.org/officeDocument/2006/relationships/image" Target="media/image150.png"/><Relationship Id="rId209" Type="http://schemas.openxmlformats.org/officeDocument/2006/relationships/image" Target="media/image151.png"/><Relationship Id="rId210" Type="http://schemas.openxmlformats.org/officeDocument/2006/relationships/image" Target="media/image152.png"/><Relationship Id="rId211" Type="http://schemas.openxmlformats.org/officeDocument/2006/relationships/image" Target="media/image153.png"/><Relationship Id="rId212" Type="http://schemas.openxmlformats.org/officeDocument/2006/relationships/image" Target="media/image154.png"/><Relationship Id="rId213" Type="http://schemas.openxmlformats.org/officeDocument/2006/relationships/image" Target="media/image155.png"/><Relationship Id="rId214" Type="http://schemas.openxmlformats.org/officeDocument/2006/relationships/image" Target="media/image156.png"/><Relationship Id="rId215"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png"/><Relationship Id="rId218" Type="http://schemas.openxmlformats.org/officeDocument/2006/relationships/image" Target="media/image160.png"/><Relationship Id="rId219" Type="http://schemas.openxmlformats.org/officeDocument/2006/relationships/image" Target="media/image161.png"/><Relationship Id="rId220" Type="http://schemas.openxmlformats.org/officeDocument/2006/relationships/image" Target="media/image162.png"/><Relationship Id="rId221" Type="http://schemas.openxmlformats.org/officeDocument/2006/relationships/image" Target="media/image163.png"/><Relationship Id="rId222" Type="http://schemas.openxmlformats.org/officeDocument/2006/relationships/image" Target="media/image164.png"/><Relationship Id="rId223" Type="http://schemas.openxmlformats.org/officeDocument/2006/relationships/image" Target="media/image165.png"/><Relationship Id="rId224" Type="http://schemas.openxmlformats.org/officeDocument/2006/relationships/image" Target="media/image166.png"/><Relationship Id="rId225" Type="http://schemas.openxmlformats.org/officeDocument/2006/relationships/image" Target="media/image167.png"/><Relationship Id="rId226" Type="http://schemas.openxmlformats.org/officeDocument/2006/relationships/image" Target="media/image168.png"/><Relationship Id="rId227" Type="http://schemas.openxmlformats.org/officeDocument/2006/relationships/image" Target="media/image169.png"/><Relationship Id="rId228" Type="http://schemas.openxmlformats.org/officeDocument/2006/relationships/image" Target="media/image170.png"/><Relationship Id="rId229" Type="http://schemas.openxmlformats.org/officeDocument/2006/relationships/image" Target="media/image171.png"/><Relationship Id="rId230" Type="http://schemas.openxmlformats.org/officeDocument/2006/relationships/image" Target="media/image172.png"/><Relationship Id="rId231" Type="http://schemas.openxmlformats.org/officeDocument/2006/relationships/image" Target="media/image173.png"/><Relationship Id="rId232" Type="http://schemas.openxmlformats.org/officeDocument/2006/relationships/image" Target="media/image174.png"/><Relationship Id="rId233" Type="http://schemas.openxmlformats.org/officeDocument/2006/relationships/image" Target="media/image175.png"/><Relationship Id="rId234" Type="http://schemas.openxmlformats.org/officeDocument/2006/relationships/image" Target="media/image176.png"/><Relationship Id="rId235" Type="http://schemas.openxmlformats.org/officeDocument/2006/relationships/image" Target="media/image177.png"/><Relationship Id="rId236" Type="http://schemas.openxmlformats.org/officeDocument/2006/relationships/image" Target="media/image178.png"/><Relationship Id="rId237" Type="http://schemas.openxmlformats.org/officeDocument/2006/relationships/image" Target="media/image179.png"/><Relationship Id="rId238" Type="http://schemas.openxmlformats.org/officeDocument/2006/relationships/image" Target="media/image180.png"/><Relationship Id="rId239" Type="http://schemas.openxmlformats.org/officeDocument/2006/relationships/image" Target="media/image181.png"/><Relationship Id="rId240" Type="http://schemas.openxmlformats.org/officeDocument/2006/relationships/image" Target="media/image182.png"/><Relationship Id="rId241" Type="http://schemas.openxmlformats.org/officeDocument/2006/relationships/image" Target="media/image183.png"/><Relationship Id="rId242" Type="http://schemas.openxmlformats.org/officeDocument/2006/relationships/image" Target="media/image184.png"/><Relationship Id="rId243" Type="http://schemas.openxmlformats.org/officeDocument/2006/relationships/image" Target="media/image185.png"/><Relationship Id="rId244" Type="http://schemas.openxmlformats.org/officeDocument/2006/relationships/image" Target="media/image186.png"/><Relationship Id="rId245" Type="http://schemas.openxmlformats.org/officeDocument/2006/relationships/image" Target="media/image187.png"/><Relationship Id="rId246" Type="http://schemas.openxmlformats.org/officeDocument/2006/relationships/image" Target="media/image188.png"/><Relationship Id="rId247" Type="http://schemas.openxmlformats.org/officeDocument/2006/relationships/image" Target="media/image189.png"/><Relationship Id="rId248" Type="http://schemas.openxmlformats.org/officeDocument/2006/relationships/image" Target="media/image190.png"/><Relationship Id="rId249" Type="http://schemas.openxmlformats.org/officeDocument/2006/relationships/image" Target="media/image191.png"/><Relationship Id="rId250" Type="http://schemas.openxmlformats.org/officeDocument/2006/relationships/image" Target="media/image192.png"/><Relationship Id="rId251" Type="http://schemas.openxmlformats.org/officeDocument/2006/relationships/image" Target="media/image193.png"/><Relationship Id="rId252" Type="http://schemas.openxmlformats.org/officeDocument/2006/relationships/image" Target="media/image194.png"/><Relationship Id="rId253" Type="http://schemas.openxmlformats.org/officeDocument/2006/relationships/image" Target="media/image195.png"/><Relationship Id="rId254" Type="http://schemas.openxmlformats.org/officeDocument/2006/relationships/image" Target="media/image196.png"/><Relationship Id="rId255" Type="http://schemas.openxmlformats.org/officeDocument/2006/relationships/image" Target="media/image197.png"/><Relationship Id="rId256" Type="http://schemas.openxmlformats.org/officeDocument/2006/relationships/image" Target="media/image198.png"/><Relationship Id="rId257" Type="http://schemas.openxmlformats.org/officeDocument/2006/relationships/image" Target="media/image199.png"/><Relationship Id="rId258" Type="http://schemas.openxmlformats.org/officeDocument/2006/relationships/image" Target="media/image200.png"/><Relationship Id="rId259" Type="http://schemas.openxmlformats.org/officeDocument/2006/relationships/image" Target="media/image201.png"/><Relationship Id="rId260" Type="http://schemas.openxmlformats.org/officeDocument/2006/relationships/image" Target="media/image202.png"/><Relationship Id="rId261" Type="http://schemas.openxmlformats.org/officeDocument/2006/relationships/image" Target="media/image203.jpeg"/><Relationship Id="rId262" Type="http://schemas.openxmlformats.org/officeDocument/2006/relationships/image" Target="media/image204.jpeg"/><Relationship Id="rId263" Type="http://schemas.openxmlformats.org/officeDocument/2006/relationships/image" Target="media/image205.png"/><Relationship Id="rId264" Type="http://schemas.openxmlformats.org/officeDocument/2006/relationships/image" Target="media/image206.png"/><Relationship Id="rId265" Type="http://schemas.openxmlformats.org/officeDocument/2006/relationships/image" Target="media/image207.png"/><Relationship Id="rId266" Type="http://schemas.openxmlformats.org/officeDocument/2006/relationships/image" Target="media/image208.png"/><Relationship Id="rId267" Type="http://schemas.openxmlformats.org/officeDocument/2006/relationships/image" Target="media/image209.png"/><Relationship Id="rId121" Type="http://schemas.openxmlformats.org/officeDocument/2006/relationships/hyperlink" Target="https://www.sec.gov/Archives/edgar/data/1620459/000162045923000128/exhibit21.htm" TargetMode="External"/><Relationship Id="rId122" Type="http://schemas.openxmlformats.org/officeDocument/2006/relationships/hyperlink" Target="https://www.sec.gov/Archives/edgar/data/1620459/000157104914005924/t1401933_ex3-1.htm" TargetMode="External"/><Relationship Id="rId123" Type="http://schemas.openxmlformats.org/officeDocument/2006/relationships/hyperlink" Target="https://www.sec.gov/Archives/edgar/data/1620459/000157104914005924/t1401933_ex3-2.htm" TargetMode="External"/><Relationship Id="rId124" Type="http://schemas.openxmlformats.org/officeDocument/2006/relationships/hyperlink" Target="https://www.sec.gov/Archives/edgar/data/1620459/000157104914005924/t1401933_ex3-3.htm" TargetMode="External"/><Relationship Id="rId125" Type="http://schemas.openxmlformats.org/officeDocument/2006/relationships/hyperlink" Target="https://www.sec.gov/Archives/edgar/data/1620459/000157104914005924/t1401933_ex3-4.htm" TargetMode="External"/><Relationship Id="rId126" Type="http://schemas.openxmlformats.org/officeDocument/2006/relationships/hyperlink" Target="https://www.sec.gov/Archives/edgar/data/1620459/000157104914005924/t1401933_ex3-5.htm" TargetMode="External"/><Relationship Id="rId127" Type="http://schemas.openxmlformats.org/officeDocument/2006/relationships/hyperlink" Target="https://www.sec.gov/Archives/edgar/data/1620459/000162045923000026/a4q22jrvrex36.htm" TargetMode="External"/><Relationship Id="rId128" Type="http://schemas.openxmlformats.org/officeDocument/2006/relationships/hyperlink" Target="https://www.sec.gov/Archives/edgar/data/1620459/000157104914007101/t1402404_ex4-1.htm" TargetMode="External"/><Relationship Id="rId129" Type="http://schemas.openxmlformats.org/officeDocument/2006/relationships/hyperlink" Target="https://www.sec.gov/Archives/edgar/data/1620459/000110465924117680/tm2428256d1_ex4-2.htm" TargetMode="External"/><Relationship Id="rId131" Type="http://schemas.openxmlformats.org/officeDocument/2006/relationships/hyperlink" Target="https://www.sec.gov/Archives/edgar/data/1620459/000162045923000026/a4q22jrvrex418.htm" TargetMode="External"/><Relationship Id="rId132" Type="http://schemas.openxmlformats.org/officeDocument/2006/relationships/hyperlink" Target="https://www.sec.gov/Archives/edgar/data/1620459/000162045923000100/exhibit101.htm" TargetMode="External"/><Relationship Id="rId133" Type="http://schemas.openxmlformats.org/officeDocument/2006/relationships/hyperlink" Target="https://www.sec.gov/Archives/edgar/data/1620459/000110465924049970/tm2412304d1_ex10-1.htm" TargetMode="External"/><Relationship Id="rId134" Type="http://schemas.openxmlformats.org/officeDocument/2006/relationships/hyperlink" Target="https://www.sec.gov/Archives/edgar/data/1620459/000162045924000109/a2q24jrvrex103.htm" TargetMode="External"/><Relationship Id="rId135" Type="http://schemas.openxmlformats.org/officeDocument/2006/relationships/hyperlink" Target="https://www.sec.gov/Archives/edgar/data/1620459/000157104914005924/t1401933_ex10-2.htm" TargetMode="External"/><Relationship Id="rId136" Type="http://schemas.openxmlformats.org/officeDocument/2006/relationships/hyperlink" Target="https://www.sec.gov/Archives/edgar/data/1620459/000157104916012907/t1600530_ex10-5.htm" TargetMode="External"/><Relationship Id="rId137" Type="http://schemas.openxmlformats.org/officeDocument/2006/relationships/hyperlink" Target="https://www.sec.gov/Archives/edgar/data/1620459/000157104914006789/t1402136_ex10-7.htm" TargetMode="External"/><Relationship Id="rId138" Type="http://schemas.openxmlformats.org/officeDocument/2006/relationships/hyperlink" Target="https://www.sec.gov/Archives/edgar/data/1620459/000157104914005924/t1401933_ex10-8.htm" TargetMode="External"/><Relationship Id="rId141" Type="http://schemas.openxmlformats.org/officeDocument/2006/relationships/hyperlink" Target="https://www.sec.gov/Archives/edgar/data/1620459/000157104914005924/t1401933_ex10-9.htm" TargetMode="External"/><Relationship Id="rId142" Type="http://schemas.openxmlformats.org/officeDocument/2006/relationships/hyperlink" Target="https://www.sec.gov/Archives/edgar/data/1620459/000157104914006789/t1402136_ex10-10.htm" TargetMode="External"/><Relationship Id="rId143" Type="http://schemas.openxmlformats.org/officeDocument/2006/relationships/hyperlink" Target="https://www.sec.gov/Archives/edgar/data/1620459/000157104914006789/t1402136_ex10-11.htm" TargetMode="External"/><Relationship Id="rId144" Type="http://schemas.openxmlformats.org/officeDocument/2006/relationships/hyperlink" Target="https://www.sec.gov/Archives/edgar/data/1620459/000157104917004403/t1701376_ex10-1.htm" TargetMode="External"/><Relationship Id="rId145" Type="http://schemas.openxmlformats.org/officeDocument/2006/relationships/hyperlink" Target="https://www.sec.gov/Archives/edgar/data/1620459/000162045922000100/exhibit101-2ndamendmentto2.htm" TargetMode="External"/><Relationship Id="rId146" Type="http://schemas.openxmlformats.org/officeDocument/2006/relationships/hyperlink" Target="https://www.sec.gov/Archives/edgar/data/1620459/000162045924000111/ex101-3rdamendmentto2014lt.htm" TargetMode="External"/><Relationship Id="rId147" Type="http://schemas.openxmlformats.org/officeDocument/2006/relationships/hyperlink" Target="https://www.sec.gov/Archives/edgar/data/1620459/000157104914006789/t1402136_ex10-12.htm" TargetMode="External"/><Relationship Id="rId148" Type="http://schemas.openxmlformats.org/officeDocument/2006/relationships/hyperlink" Target="https://www.sec.gov/Archives/edgar/data/1620459/000157104914006789/t1402136_ex10-13.htm" TargetMode="External"/><Relationship Id="rId149" Type="http://schemas.openxmlformats.org/officeDocument/2006/relationships/hyperlink" Target="https://www.sec.gov/Archives/edgar/data/1620459/000157104914007101/t1402404_ex10-14.htm" TargetMode="External"/><Relationship Id="rId150" Type="http://schemas.openxmlformats.org/officeDocument/2006/relationships/hyperlink" Target="https://www.sec.gov/Archives/edgar/data/1620459/000162045923000026/a4q22jrvrex1021.htm" TargetMode="External"/><Relationship Id="rId151" Type="http://schemas.openxmlformats.org/officeDocument/2006/relationships/hyperlink" Target="https://www.sec.gov/Archives/edgar/data/1620459/000162045923000026/a4q22jrvrex1022.htm" TargetMode="External"/><Relationship Id="rId152" Type="http://schemas.openxmlformats.org/officeDocument/2006/relationships/hyperlink" Target="https://www.sec.gov/Archives/edgar/data/1620459/000162045923000026/a4q22jrvrex1023.htm" TargetMode="External"/><Relationship Id="rId153" Type="http://schemas.openxmlformats.org/officeDocument/2006/relationships/hyperlink" Target="https://www.sec.gov/Archives/edgar/data/1620459/000157104914006789/t1402136_ex10-15.htm" TargetMode="External"/><Relationship Id="rId154" Type="http://schemas.openxmlformats.org/officeDocument/2006/relationships/hyperlink" Target="https://www.sec.gov/Archives/edgar/data/1620459/000162045919000057/ex101-planamendment.htm" TargetMode="External"/><Relationship Id="rId155" Type="http://schemas.openxmlformats.org/officeDocument/2006/relationships/hyperlink" Target="https://www.sec.gov/Archives/edgar/data/1620459/000162045924000111/ex102-2ndamendmenttononxem.htm" TargetMode="External"/><Relationship Id="rId156" Type="http://schemas.openxmlformats.org/officeDocument/2006/relationships/hyperlink" Target="https://www.sec.gov/Archives/edgar/data/1620459/000157104914006789/t1402136_ex10-16.htm" TargetMode="External"/><Relationship Id="rId157" Type="http://schemas.openxmlformats.org/officeDocument/2006/relationships/hyperlink" Target="https://www.sec.gov/Archives/edgar/data/1620459/000157104914007101/t1402404_ex10-17.htm" TargetMode="External"/><Relationship Id="rId158" Type="http://schemas.openxmlformats.org/officeDocument/2006/relationships/hyperlink" Target="https://www.sec.gov/Archives/edgar/data/1620459/000162045924000104/jrvrex101-formofretentiona.htm" TargetMode="External"/><Relationship Id="rId159" Type="http://schemas.openxmlformats.org/officeDocument/2006/relationships/hyperlink" Target="https://www.sec.gov/Archives/edgar/data/1620459/000162045924000104/jrvrex102-amendedandrestat.htm" TargetMode="External"/><Relationship Id="rId160" Type="http://schemas.openxmlformats.org/officeDocument/2006/relationships/hyperlink" Target="https://www.sec.gov/Archives/edgar/data/1620459/000157104916020824/t1603123_ex10-1.htm" TargetMode="External"/><Relationship Id="rId163" Type="http://schemas.openxmlformats.org/officeDocument/2006/relationships/hyperlink" Target="https://www.sec.gov/Archives/edgar/data/1620459/000162828018013981/jrvrex10109302018.htm" TargetMode="External"/><Relationship Id="rId164" Type="http://schemas.openxmlformats.org/officeDocument/2006/relationships/hyperlink" Target="https://www.sec.gov/Archives/edgar/data/1620459/000162828018002654/jrvrex102212312017.htm" TargetMode="External"/><Relationship Id="rId165" Type="http://schemas.openxmlformats.org/officeDocument/2006/relationships/hyperlink" Target="https://www.sec.gov/Archives/edgar/data/1620459/000162045924000083/jrvrex1044-hoffmannemploym.htm" TargetMode="External"/><Relationship Id="rId166" Type="http://schemas.openxmlformats.org/officeDocument/2006/relationships/hyperlink" Target="https://www.sec.gov/Archives/edgar/data/0001620459/000110465922028107/tm227669d1_ex10-1.htm" TargetMode="External"/><Relationship Id="rId167" Type="http://schemas.openxmlformats.org/officeDocument/2006/relationships/hyperlink" Target="https://www.sec.gov/Archives/edgar/data/1620459/000162045922000084/a1q22jrvrex102.htm" TargetMode="External"/><Relationship Id="rId168" Type="http://schemas.openxmlformats.org/officeDocument/2006/relationships/hyperlink" Target="https://www.sec.gov/Archives/edgar/data/1620459/000110465924117680/tm2428256d1_ex4-1.htm" TargetMode="External"/><Relationship Id="rId169" Type="http://schemas.openxmlformats.org/officeDocument/2006/relationships/hyperlink" Target="https://www.sec.gov/Archives/edgar/data/1620459/000162045922000084/a1q22jrvrex104.htm" TargetMode="External"/><Relationship Id="rId170" Type="http://schemas.openxmlformats.org/officeDocument/2006/relationships/hyperlink" Target="https://www.sec.gov/Archives/edgar/data/1620459/000110465924117680/tm2428256d1_ex10-3.htm" TargetMode="External"/><Relationship Id="rId171" Type="http://schemas.openxmlformats.org/officeDocument/2006/relationships/hyperlink" Target="https://www.sec.gov/Archives/edgar/data/0001620459/000110465921120933/tm2128750d1_ex10-1.htm" TargetMode="External"/><Relationship Id="rId172" Type="http://schemas.openxmlformats.org/officeDocument/2006/relationships/hyperlink" Target="https://www.sec.gov/Archives/edgar/data/0001620459/000110465921120933/tm2128750d1_ex10-2.htm" TargetMode="External"/><Relationship Id="rId173" Type="http://schemas.openxmlformats.org/officeDocument/2006/relationships/hyperlink" Target="https://www.sec.gov/Archives/edgar/data/1620459/000162045924000095/exhibit101-combinedlptanda.htm" TargetMode="External"/><Relationship Id="rId174" Type="http://schemas.openxmlformats.org/officeDocument/2006/relationships/hyperlink" Target="https://www.sec.gov/Archives/edgar/data/1620459/000110465924117680/tm2428256d1_ex10-1.htm" TargetMode="External"/><Relationship Id="rId175" Type="http://schemas.openxmlformats.org/officeDocument/2006/relationships/hyperlink" Target="https://www.sec.gov/Archives/edgar/data/1620459/000110465924117680/tm2428256d1_ex10-2.htm" TargetMode="External"/><Relationship Id="rId178" Type="http://schemas.openxmlformats.org/officeDocument/2006/relationships/hyperlink" Target="https://www.sec.gov/Archives/edgar/data/1620459/000162045924000022/a4q23jrvr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2025-03-04T16:30:52Z</dcterms:created>
  <dcterms:modified xsi:type="dcterms:W3CDTF">2025-03-04T16:30:52Z</dcterms:modified>
</cp:coreProperties>
</file>