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6005.xml.htm"/>
      <w:bookmarkStart w:id="1" w:name="kswkform4_17865660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Basu Rajiv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JAMES RIVER GROUP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1414 RALEIGH ROAD, SUITE 405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CHAPEL HILL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James River Group Holdings, Inc.</w:t>
              </w:r>
            </w:hyperlink>
            <w:r>
              <w:rPr/>
              <w:t xml:space="preserve"> [ </w:t>
            </w:r>
            <w:r>
              <w:rPr>
                <w:rFonts w:ascii="Times;serif" w:hAnsi="Times;serif"/>
                <w:color w:val="0000FF"/>
                <w:sz w:val="24"/>
                <w:shd w:fill="FFFFFF" w:val="clear"/>
              </w:rPr>
              <w:t>JRVR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18,632</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18,632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annual grant of restricted share units (payable solely in shares of common stock of the Issuer on the vesting date) under the James River Group Holdings, Inc. 2014 Non-Employee Director Incentive Plan, as amended, which vest on March 4,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Jeanette L. Miller, Attorney-in-fact for Rajiv Basu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8164" TargetMode="External"/><Relationship Id="rId5" Type="http://schemas.openxmlformats.org/officeDocument/2006/relationships/hyperlink" Target="http://www.sec.gov/cgi-bin/browse-edgar?action=getcompany&amp;CIK=00016204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3335</Characters>
  <CharactersWithSpaces>3884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