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087357.xml.htm"/>
      <w:bookmarkStart w:id="1" w:name="kswkform4_17730873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D'Orazio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JAMES RIVER GROUP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1414 RALEIGH ROAD, 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James River Group Holdings, Inc.</w:t>
              </w:r>
            </w:hyperlink>
            <w:r>
              <w:rPr/>
              <w:t xml:space="preserve"> [ </w:t>
            </w:r>
            <w:r>
              <w:rPr>
                <w:rFonts w:ascii="Times;serif" w:hAnsi="Times;serif"/>
                <w:color w:val="0000FF"/>
                <w:sz w:val="24"/>
                <w:shd w:fill="FFFFFF" w:val="clear"/>
              </w:rPr>
              <w:t>JRVR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14,128</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546,399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disposed of were withheld by James River Group Holdings, Inc. for payment of the tax liability incident to the vesting of 43,778 restricted share units on March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L. Miller, Attorney-in-fact for Frank D'Orazio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3976" TargetMode="External"/><Relationship Id="rId5" Type="http://schemas.openxmlformats.org/officeDocument/2006/relationships/hyperlink" Target="http://www.sec.gov/cgi-bin/browse-edgar?action=getcompany&amp;CIK=00016204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3282</Characters>
  <CharactersWithSpaces>3827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