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 for the quarterly period ended March 31, 2025</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 for the transition period from _______ to _______</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001-36777</w:t>
      </w:r>
    </w:p>
    <w:tbl>
      <w:tblPr>
        <w:tblW w:w="9329" w:type="dxa"/>
        <w:jc w:val="center"/>
        <w:tblInd w:w="0" w:type="dxa"/>
        <w:tblLayout w:type="fixed"/>
        <w:tblCellMar>
          <w:top w:w="28" w:type="dxa"/>
          <w:left w:w="28" w:type="dxa"/>
          <w:bottom w:w="28" w:type="dxa"/>
          <w:right w:w="28" w:type="dxa"/>
        </w:tblCellMar>
      </w:tblPr>
      <w:tblGrid>
        <w:gridCol w:w="2988"/>
        <w:gridCol w:w="2627"/>
        <w:gridCol w:w="3714"/>
      </w:tblGrid>
      <w:tr>
        <w:trPr/>
        <w:tc>
          <w:tcPr>
            <w:tcW w:w="298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9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48"/>
              </w:rPr>
            </w:pPr>
            <w:r>
              <w:rPr>
                <w:rFonts w:ascii="Times New Roman;sans-serif" w:hAnsi="Times New Roman;sans-serif"/>
                <w:b/>
                <w:color w:val="000000"/>
                <w:sz w:val="48"/>
              </w:rPr>
              <w:t>JAMES RIVER GROUP HOLDINGS, LTD.</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271" w:type="dxa"/>
        <w:jc w:val="center"/>
        <w:tblInd w:w="0" w:type="dxa"/>
        <w:tblLayout w:type="fixed"/>
        <w:tblCellMar>
          <w:top w:w="28" w:type="dxa"/>
          <w:left w:w="28" w:type="dxa"/>
          <w:bottom w:w="28" w:type="dxa"/>
          <w:right w:w="28" w:type="dxa"/>
        </w:tblCellMar>
      </w:tblPr>
      <w:tblGrid>
        <w:gridCol w:w="874"/>
        <w:gridCol w:w="767"/>
        <w:gridCol w:w="773"/>
        <w:gridCol w:w="109"/>
        <w:gridCol w:w="109"/>
        <w:gridCol w:w="109"/>
        <w:gridCol w:w="447"/>
        <w:gridCol w:w="447"/>
        <w:gridCol w:w="636"/>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98-0585280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Clarendon House, 2 Church Street, Hamilton, Pembroke HM11, Bermuda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(441) 295-1422</w:t>
      </w:r>
    </w:p>
    <w:p>
      <w:pPr>
        <w:pStyle w:val="TextBody"/>
        <w:bidi w:val="0"/>
        <w:spacing w:lineRule="auto" w:line="288" w:before="0" w:after="120"/>
        <w:jc w:val="center"/>
        <w:rPr/>
      </w:pPr>
      <w:r>
        <w:rPr>
          <w:rFonts w:ascii="Times New Roman;sans-serif" w:hAnsi="Times New Roman;sans-serif"/>
          <w:b/>
          <w:color w:val="000000"/>
          <w:sz w:val="20"/>
        </w:rPr>
        <w:t>(Registrant</w:t>
      </w:r>
      <w:r>
        <w:rPr>
          <w:rFonts w:ascii="Times New Roman;sans-serif" w:hAnsi="Times New Roman;sans-serif"/>
          <w:b w:val="false"/>
          <w:color w:val="000000"/>
          <w:sz w:val="20"/>
        </w:rPr>
        <w:t>'</w:t>
      </w:r>
      <w:r>
        <w:rPr>
          <w:rFonts w:ascii="Times New Roman;sans-serif" w:hAnsi="Times New Roman;sans-serif"/>
          <w:b/>
          <w:color w:val="000000"/>
          <w:sz w:val="20"/>
        </w:rPr>
        <w:t>s telephone number, including area code)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075" w:type="dxa"/>
        <w:jc w:val="center"/>
        <w:tblInd w:w="0" w:type="dxa"/>
        <w:tblLayout w:type="fixed"/>
        <w:tblCellMar>
          <w:top w:w="28" w:type="dxa"/>
          <w:left w:w="28" w:type="dxa"/>
          <w:bottom w:w="28" w:type="dxa"/>
          <w:right w:w="28" w:type="dxa"/>
        </w:tblCellMar>
      </w:tblPr>
      <w:tblGrid>
        <w:gridCol w:w="1363"/>
        <w:gridCol w:w="1193"/>
        <w:gridCol w:w="1208"/>
        <w:gridCol w:w="539"/>
        <w:gridCol w:w="539"/>
        <w:gridCol w:w="541"/>
        <w:gridCol w:w="304"/>
        <w:gridCol w:w="304"/>
        <w:gridCol w:w="304"/>
        <w:gridCol w:w="304"/>
        <w:gridCol w:w="304"/>
        <w:gridCol w:w="304"/>
        <w:gridCol w:w="610"/>
        <w:gridCol w:w="610"/>
        <w:gridCol w:w="610"/>
        <w:gridCol w:w="304"/>
        <w:gridCol w:w="304"/>
        <w:gridCol w:w="430"/>
      </w:tblGrid>
      <w:tr>
        <w:trPr/>
        <w:tc>
          <w:tcPr>
            <w:tcW w:w="136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46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Names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JRVR</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Global Select Market</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415"/>
        <w:gridCol w:w="415"/>
        <w:gridCol w:w="416"/>
        <w:gridCol w:w="109"/>
        <w:gridCol w:w="109"/>
        <w:gridCol w:w="109"/>
        <w:gridCol w:w="540"/>
        <w:gridCol w:w="540"/>
        <w:gridCol w:w="541"/>
        <w:gridCol w:w="109"/>
        <w:gridCol w:w="109"/>
        <w:gridCol w:w="109"/>
        <w:gridCol w:w="675"/>
        <w:gridCol w:w="675"/>
        <w:gridCol w:w="676"/>
        <w:gridCol w:w="109"/>
        <w:gridCol w:w="109"/>
        <w:gridCol w:w="109"/>
        <w:gridCol w:w="663"/>
        <w:gridCol w:w="663"/>
        <w:gridCol w:w="666"/>
        <w:gridCol w:w="109"/>
        <w:gridCol w:w="109"/>
        <w:gridCol w:w="160"/>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120"/>
        <w:jc w:val="both"/>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shares of the registrant's common shares outstanding at May 5, 2025: 45,893,162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28"/>
        <w:gridCol w:w="449"/>
        <w:gridCol w:w="449"/>
        <w:gridCol w:w="2748"/>
        <w:gridCol w:w="2651"/>
        <w:gridCol w:w="2641"/>
        <w:gridCol w:w="215"/>
        <w:gridCol w:w="215"/>
        <w:gridCol w:w="309"/>
      </w:tblGrid>
      <w:tr>
        <w:trPr/>
        <w:tc>
          <w:tcPr>
            <w:tcW w:w="52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0">
              <w:r>
                <w:rPr>
                  <w:rStyle w:val="InternetLink"/>
                  <w:rFonts w:ascii="Times New Roman;sans-serif" w:hAnsi="Times New Roman;sans-serif"/>
                  <w:b w:val="false"/>
                  <w:color w:val="0000FF"/>
                  <w:sz w:val="20"/>
                  <w:u w:val="single"/>
                </w:rPr>
                <w:t>PART I. FINANCIAL INFORMATION</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3">
              <w:r>
                <w:rPr>
                  <w:rStyle w:val="InternetLink"/>
                  <w:rFonts w:ascii="Times New Roman;sans-serif" w:hAnsi="Times New Roman;sans-serif"/>
                  <w:b w:val="false"/>
                  <w:color w:val="0000FF"/>
                  <w:sz w:val="20"/>
                  <w:u w:val="single"/>
                </w:rPr>
                <w:t>Item 1.</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3">
              <w:r>
                <w:rPr>
                  <w:rStyle w:val="InternetLink"/>
                  <w:rFonts w:ascii="Times New Roman;sans-serif" w:hAnsi="Times New Roman;sans-serif"/>
                  <w:b w:val="false"/>
                  <w:color w:val="0000FF"/>
                  <w:sz w:val="20"/>
                  <w:u w:val="single"/>
                </w:rPr>
                <w:t>Financial Statements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6">
              <w:r>
                <w:rPr>
                  <w:rStyle w:val="InternetLink"/>
                  <w:rFonts w:ascii="Times New Roman;sans-serif" w:hAnsi="Times New Roman;sans-serif"/>
                  <w:b w:val="false"/>
                  <w:color w:val="000080"/>
                  <w:sz w:val="20"/>
                  <w:u w:val="single"/>
                </w:rPr>
                <w:t>Condensed Consolidated Balance Sheets</w:t>
              </w:r>
            </w:hyperlink>
            <w:hyperlink w:anchor="if58b8cf7e46d4fe6a61d648de5ff77fc_19">
              <w:r>
                <w:rPr>
                  <w:rStyle w:val="InternetLink"/>
                  <w:rFonts w:ascii="Times New Roman;sans-serif" w:hAnsi="Times New Roman;sans-serif"/>
                  <w:b w:val="false"/>
                  <w:color w:val="000080"/>
                  <w:sz w:val="20"/>
                  <w:u w:val="single"/>
                </w:rPr>
                <w:t>—</w:t>
              </w:r>
            </w:hyperlink>
            <w:hyperlink w:anchor="if58b8cf7e46d4fe6a61d648de5ff77fc_16">
              <w:r>
                <w:rPr>
                  <w:rStyle w:val="InternetLink"/>
                  <w:rFonts w:ascii="Times New Roman;sans-serif" w:hAnsi="Times New Roman;sans-serif"/>
                  <w:b w:val="false"/>
                  <w:color w:val="000080"/>
                  <w:sz w:val="20"/>
                  <w:u w:val="single"/>
                </w:rPr>
                <w:t>March 31, 2025 and December 31, 2024</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6">
              <w:r>
                <w:rPr>
                  <w:rStyle w:val="InternetLink"/>
                  <w:rFonts w:ascii="Times New Roman;sans-serif" w:hAnsi="Times New Roman;sans-serif"/>
                  <w:b w:val="false"/>
                  <w:color w:val="0000FF"/>
                  <w:sz w:val="20"/>
                  <w:u w:val="single"/>
                </w:rPr>
                <w:t>5</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9">
              <w:r>
                <w:rPr>
                  <w:rStyle w:val="InternetLink"/>
                  <w:rFonts w:ascii="Times New Roman;sans-serif" w:hAnsi="Times New Roman;sans-serif"/>
                  <w:b w:val="false"/>
                  <w:color w:val="000080"/>
                  <w:sz w:val="20"/>
                  <w:u w:val="single"/>
                </w:rPr>
                <w:t xml:space="preserve">Condensed Consolidated Statements of </w:t>
              </w:r>
            </w:hyperlink>
            <w:hyperlink w:anchor="if58b8cf7e46d4fe6a61d648de5ff77fc_19">
              <w:r>
                <w:rPr>
                  <w:rStyle w:val="InternetLink"/>
                  <w:rFonts w:ascii="Times New Roman;sans-serif" w:hAnsi="Times New Roman;sans-serif"/>
                  <w:b w:val="false"/>
                  <w:color w:val="000080"/>
                  <w:sz w:val="20"/>
                  <w:u w:val="single"/>
                </w:rPr>
                <w:t xml:space="preserve">Income and Comprehensive </w:t>
              </w:r>
            </w:hyperlink>
            <w:hyperlink w:anchor="if58b8cf7e46d4fe6a61d648de5ff77fc_19">
              <w:r>
                <w:rPr>
                  <w:rStyle w:val="InternetLink"/>
                  <w:rFonts w:ascii="Times New Roman;sans-serif" w:hAnsi="Times New Roman;sans-serif"/>
                  <w:b w:val="false"/>
                  <w:color w:val="000080"/>
                  <w:sz w:val="20"/>
                  <w:u w:val="single"/>
                </w:rPr>
                <w:t xml:space="preserve">Income—Three </w:t>
              </w:r>
            </w:hyperlink>
            <w:hyperlink w:anchor="if58b8cf7e46d4fe6a61d648de5ff77fc_19">
              <w:r>
                <w:rPr>
                  <w:rStyle w:val="InternetLink"/>
                  <w:rFonts w:ascii="Times New Roman;sans-serif" w:hAnsi="Times New Roman;sans-serif"/>
                  <w:b w:val="false"/>
                  <w:color w:val="000080"/>
                  <w:sz w:val="20"/>
                  <w:u w:val="single"/>
                </w:rPr>
                <w:t xml:space="preserve">Months Ended </w:t>
              </w:r>
            </w:hyperlink>
            <w:hyperlink w:anchor="if58b8cf7e46d4fe6a61d648de5ff77fc_19">
              <w:r>
                <w:rPr>
                  <w:rStyle w:val="InternetLink"/>
                  <w:rFonts w:ascii="Times New Roman;sans-serif" w:hAnsi="Times New Roman;sans-serif"/>
                  <w:b w:val="false"/>
                  <w:color w:val="000080"/>
                  <w:sz w:val="20"/>
                  <w:u w:val="single"/>
                </w:rPr>
                <w:t>March 31</w:t>
              </w:r>
            </w:hyperlink>
            <w:hyperlink w:anchor="if58b8cf7e46d4fe6a61d648de5ff77fc_19">
              <w:r>
                <w:rPr>
                  <w:rStyle w:val="InternetLink"/>
                  <w:rFonts w:ascii="Times New Roman;sans-serif" w:hAnsi="Times New Roman;sans-serif"/>
                  <w:b w:val="false"/>
                  <w:color w:val="000080"/>
                  <w:sz w:val="20"/>
                  <w:u w:val="single"/>
                </w:rPr>
                <w:t>, 202</w:t>
              </w:r>
            </w:hyperlink>
            <w:hyperlink w:anchor="if58b8cf7e46d4fe6a61d648de5ff77fc_19">
              <w:r>
                <w:rPr>
                  <w:rStyle w:val="InternetLink"/>
                  <w:rFonts w:ascii="Times New Roman;sans-serif" w:hAnsi="Times New Roman;sans-serif"/>
                  <w:b w:val="false"/>
                  <w:color w:val="000080"/>
                  <w:sz w:val="20"/>
                  <w:u w:val="single"/>
                </w:rPr>
                <w:t>5</w:t>
              </w:r>
            </w:hyperlink>
            <w:hyperlink w:anchor="if58b8cf7e46d4fe6a61d648de5ff77fc_19">
              <w:r>
                <w:rPr>
                  <w:rStyle w:val="InternetLink"/>
                  <w:rFonts w:ascii="Times New Roman;sans-serif" w:hAnsi="Times New Roman;sans-serif"/>
                  <w:b w:val="false"/>
                  <w:color w:val="000080"/>
                  <w:sz w:val="20"/>
                  <w:u w:val="single"/>
                </w:rPr>
                <w:t xml:space="preserve"> and 202</w:t>
              </w:r>
            </w:hyperlink>
            <w:hyperlink w:anchor="if58b8cf7e46d4fe6a61d648de5ff77fc_19">
              <w:r>
                <w:rPr>
                  <w:rStyle w:val="InternetLink"/>
                  <w:rFonts w:ascii="Times New Roman;sans-serif" w:hAnsi="Times New Roman;sans-serif"/>
                  <w:b w:val="false"/>
                  <w:color w:val="000080"/>
                  <w:sz w:val="20"/>
                  <w:u w:val="single"/>
                </w:rPr>
                <w:t>4</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9">
              <w:r>
                <w:rPr>
                  <w:rStyle w:val="InternetLink"/>
                  <w:rFonts w:ascii="Times New Roman;sans-serif" w:hAnsi="Times New Roman;sans-serif"/>
                  <w:b w:val="false"/>
                  <w:color w:val="0000FF"/>
                  <w:sz w:val="20"/>
                  <w:u w:val="single"/>
                </w:rPr>
                <w:t>7</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22">
              <w:r>
                <w:rPr>
                  <w:rStyle w:val="InternetLink"/>
                  <w:rFonts w:ascii="Times New Roman;sans-serif" w:hAnsi="Times New Roman;sans-serif"/>
                  <w:b w:val="false"/>
                  <w:color w:val="0000FF"/>
                  <w:sz w:val="20"/>
                  <w:u w:val="single"/>
                </w:rPr>
                <w:t>Condensed Consolidated Statements of Changes in Shareholders’ Equity—Three Months Ended March 31, 2025 and 2024</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22">
              <w:r>
                <w:rPr>
                  <w:rStyle w:val="InternetLink"/>
                  <w:rFonts w:ascii="Times New Roman;sans-serif" w:hAnsi="Times New Roman;sans-serif"/>
                  <w:b w:val="false"/>
                  <w:color w:val="0000FF"/>
                  <w:sz w:val="20"/>
                  <w:u w:val="single"/>
                </w:rPr>
                <w:t>8</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25">
              <w:r>
                <w:rPr>
                  <w:rStyle w:val="InternetLink"/>
                  <w:rFonts w:ascii="Times New Roman;sans-serif" w:hAnsi="Times New Roman;sans-serif"/>
                  <w:b w:val="false"/>
                  <w:color w:val="0000FF"/>
                  <w:sz w:val="20"/>
                  <w:u w:val="single"/>
                </w:rPr>
                <w:t>Condensed Consolidated Statements of Cash Flows—Three Months Ended March 31, 2025 and 2024</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25">
              <w:r>
                <w:rPr>
                  <w:rStyle w:val="InternetLink"/>
                  <w:rFonts w:ascii="Times New Roman;sans-serif" w:hAnsi="Times New Roman;sans-serif"/>
                  <w:b w:val="false"/>
                  <w:color w:val="0000FF"/>
                  <w:sz w:val="20"/>
                  <w:u w:val="single"/>
                </w:rPr>
                <w:t>9</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28">
              <w:r>
                <w:rPr>
                  <w:rStyle w:val="InternetLink"/>
                  <w:rFonts w:ascii="Times New Roman;sans-serif" w:hAnsi="Times New Roman;sans-serif"/>
                  <w:b w:val="false"/>
                  <w:color w:val="0000FF"/>
                  <w:sz w:val="20"/>
                  <w:u w:val="single"/>
                </w:rPr>
                <w:t>Notes to Condensed Consolidated Financial Statements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28">
              <w:r>
                <w:rPr>
                  <w:rStyle w:val="InternetLink"/>
                  <w:rFonts w:ascii="Times New Roman;sans-serif" w:hAnsi="Times New Roman;sans-serif"/>
                  <w:b w:val="false"/>
                  <w:color w:val="0000FF"/>
                  <w:sz w:val="20"/>
                  <w:u w:val="single"/>
                </w:rPr>
                <w:t>10</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76">
              <w:r>
                <w:rPr>
                  <w:rStyle w:val="InternetLink"/>
                  <w:rFonts w:ascii="Times New Roman;sans-serif" w:hAnsi="Times New Roman;sans-serif"/>
                  <w:b w:val="false"/>
                  <w:color w:val="0000FF"/>
                  <w:sz w:val="20"/>
                  <w:u w:val="single"/>
                </w:rPr>
                <w:t>Item 2.</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76">
              <w:r>
                <w:rPr>
                  <w:rStyle w:val="InternetLink"/>
                  <w:rFonts w:ascii="Times New Roman;sans-serif" w:hAnsi="Times New Roman;sans-serif"/>
                  <w:b w:val="false"/>
                  <w:color w:val="0000FF"/>
                  <w:sz w:val="20"/>
                  <w:u w:val="single"/>
                </w:rPr>
                <w:t>37</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79">
              <w:r>
                <w:rPr>
                  <w:rStyle w:val="InternetLink"/>
                  <w:rFonts w:ascii="Times New Roman;sans-serif" w:hAnsi="Times New Roman;sans-serif"/>
                  <w:b w:val="false"/>
                  <w:color w:val="0000FF"/>
                  <w:sz w:val="20"/>
                  <w:u w:val="single"/>
                </w:rPr>
                <w:t>Critical Accounting Policies and Estimates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79">
              <w:r>
                <w:rPr>
                  <w:rStyle w:val="InternetLink"/>
                  <w:rFonts w:ascii="Times New Roman;sans-serif" w:hAnsi="Times New Roman;sans-serif"/>
                  <w:b w:val="false"/>
                  <w:color w:val="0000FF"/>
                  <w:sz w:val="20"/>
                  <w:u w:val="single"/>
                </w:rPr>
                <w:t>39</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94">
              <w:r>
                <w:rPr>
                  <w:rStyle w:val="InternetLink"/>
                  <w:rFonts w:ascii="Times New Roman;sans-serif" w:hAnsi="Times New Roman;sans-serif"/>
                  <w:b w:val="false"/>
                  <w:color w:val="0000FF"/>
                  <w:sz w:val="20"/>
                  <w:u w:val="single"/>
                </w:rPr>
                <w:t>Item 3.</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94">
              <w:r>
                <w:rPr>
                  <w:rStyle w:val="InternetLink"/>
                  <w:rFonts w:ascii="Times New Roman;sans-serif" w:hAnsi="Times New Roman;sans-serif"/>
                  <w:b w:val="false"/>
                  <w:color w:val="0000FF"/>
                  <w:sz w:val="20"/>
                  <w:u w:val="single"/>
                </w:rPr>
                <w:t>Quantitative and Qualitative Disclosures About Market Risk</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94">
              <w:r>
                <w:rPr>
                  <w:rStyle w:val="InternetLink"/>
                  <w:rFonts w:ascii="Times New Roman;sans-serif" w:hAnsi="Times New Roman;sans-serif"/>
                  <w:b w:val="false"/>
                  <w:color w:val="0000FF"/>
                  <w:sz w:val="20"/>
                  <w:u w:val="single"/>
                </w:rPr>
                <w:t>61</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97">
              <w:r>
                <w:rPr>
                  <w:rStyle w:val="InternetLink"/>
                  <w:rFonts w:ascii="Times New Roman;sans-serif" w:hAnsi="Times New Roman;sans-serif"/>
                  <w:b w:val="false"/>
                  <w:color w:val="0000FF"/>
                  <w:sz w:val="20"/>
                  <w:u w:val="single"/>
                </w:rPr>
                <w:t>Item 4.</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97">
              <w:r>
                <w:rPr>
                  <w:rStyle w:val="InternetLink"/>
                  <w:rFonts w:ascii="Times New Roman;sans-serif" w:hAnsi="Times New Roman;sans-serif"/>
                  <w:b w:val="false"/>
                  <w:color w:val="0000FF"/>
                  <w:sz w:val="20"/>
                  <w:u w:val="single"/>
                </w:rPr>
                <w:t>Controls and Procedures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97">
              <w:r>
                <w:rPr>
                  <w:rStyle w:val="InternetLink"/>
                  <w:rFonts w:ascii="Times New Roman;sans-serif" w:hAnsi="Times New Roman;sans-serif"/>
                  <w:b w:val="false"/>
                  <w:color w:val="0000FF"/>
                  <w:sz w:val="20"/>
                  <w:u w:val="single"/>
                </w:rPr>
                <w:t>61</w:t>
              </w:r>
            </w:hyperlink>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00">
              <w:r>
                <w:rPr>
                  <w:rStyle w:val="InternetLink"/>
                  <w:rFonts w:ascii="Times New Roman;sans-serif" w:hAnsi="Times New Roman;sans-serif"/>
                  <w:b w:val="false"/>
                  <w:color w:val="0000FF"/>
                  <w:sz w:val="20"/>
                  <w:u w:val="single"/>
                </w:rPr>
                <w:t>PART II. OTHER INFORMATION</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03">
              <w:r>
                <w:rPr>
                  <w:rStyle w:val="InternetLink"/>
                  <w:rFonts w:ascii="Times New Roman;sans-serif" w:hAnsi="Times New Roman;sans-serif"/>
                  <w:b w:val="false"/>
                  <w:color w:val="0000FF"/>
                  <w:sz w:val="20"/>
                  <w:u w:val="single"/>
                </w:rPr>
                <w:t>Item 1.</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03">
              <w:r>
                <w:rPr>
                  <w:rStyle w:val="InternetLink"/>
                  <w:rFonts w:ascii="Times New Roman;sans-serif" w:hAnsi="Times New Roman;sans-serif"/>
                  <w:b w:val="false"/>
                  <w:color w:val="0000FF"/>
                  <w:sz w:val="20"/>
                  <w:u w:val="single"/>
                </w:rPr>
                <w:t>Legal Proceedings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03">
              <w:r>
                <w:rPr>
                  <w:rStyle w:val="InternetLink"/>
                  <w:rFonts w:ascii="Times New Roman;sans-serif" w:hAnsi="Times New Roman;sans-serif"/>
                  <w:b w:val="false"/>
                  <w:color w:val="0000FF"/>
                  <w:sz w:val="20"/>
                  <w:u w:val="single"/>
                </w:rPr>
                <w:t>61</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06">
              <w:r>
                <w:rPr>
                  <w:rStyle w:val="InternetLink"/>
                  <w:rFonts w:ascii="Times New Roman;sans-serif" w:hAnsi="Times New Roman;sans-serif"/>
                  <w:b w:val="false"/>
                  <w:color w:val="0000FF"/>
                  <w:sz w:val="20"/>
                  <w:u w:val="single"/>
                </w:rPr>
                <w:t>Item 1A.</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06">
              <w:r>
                <w:rPr>
                  <w:rStyle w:val="InternetLink"/>
                  <w:rFonts w:ascii="Times New Roman;sans-serif" w:hAnsi="Times New Roman;sans-serif"/>
                  <w:b w:val="false"/>
                  <w:color w:val="0000FF"/>
                  <w:sz w:val="20"/>
                  <w:u w:val="single"/>
                </w:rPr>
                <w:t>Risk Factors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06">
              <w:r>
                <w:rPr>
                  <w:rStyle w:val="InternetLink"/>
                  <w:rFonts w:ascii="Times New Roman;sans-serif" w:hAnsi="Times New Roman;sans-serif"/>
                  <w:b w:val="false"/>
                  <w:color w:val="0000FF"/>
                  <w:sz w:val="20"/>
                  <w:u w:val="single"/>
                </w:rPr>
                <w:t>61</w:t>
              </w:r>
            </w:hyperlink>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09">
              <w:r>
                <w:rPr>
                  <w:rStyle w:val="InternetLink"/>
                  <w:rFonts w:ascii="Times New Roman;sans-serif" w:hAnsi="Times New Roman;sans-serif"/>
                  <w:b w:val="false"/>
                  <w:color w:val="0000FF"/>
                  <w:sz w:val="20"/>
                  <w:u w:val="single"/>
                </w:rPr>
                <w:t>Item 2.</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09">
              <w:r>
                <w:rPr>
                  <w:rStyle w:val="InternetLink"/>
                  <w:rFonts w:ascii="Times New Roman;sans-serif" w:hAnsi="Times New Roman;sans-serif"/>
                  <w:b w:val="false"/>
                  <w:color w:val="0000FF"/>
                  <w:sz w:val="20"/>
                  <w:u w:val="single"/>
                </w:rPr>
                <w:t>Unregistered Sales of Equity Securities and Use of Proceeds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09">
              <w:r>
                <w:rPr>
                  <w:rStyle w:val="InternetLink"/>
                  <w:rFonts w:ascii="Times New Roman;sans-serif" w:hAnsi="Times New Roman;sans-serif"/>
                  <w:b w:val="false"/>
                  <w:color w:val="0000FF"/>
                  <w:sz w:val="20"/>
                  <w:u w:val="single"/>
                </w:rPr>
                <w:t>61</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12">
              <w:r>
                <w:rPr>
                  <w:rStyle w:val="InternetLink"/>
                  <w:rFonts w:ascii="Times New Roman;sans-serif" w:hAnsi="Times New Roman;sans-serif"/>
                  <w:b w:val="false"/>
                  <w:color w:val="0000FF"/>
                  <w:sz w:val="20"/>
                  <w:u w:val="single"/>
                </w:rPr>
                <w:t>Item 3.</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12">
              <w:r>
                <w:rPr>
                  <w:rStyle w:val="InternetLink"/>
                  <w:rFonts w:ascii="Times New Roman;sans-serif" w:hAnsi="Times New Roman;sans-serif"/>
                  <w:b w:val="false"/>
                  <w:color w:val="0000FF"/>
                  <w:sz w:val="20"/>
                  <w:u w:val="single"/>
                </w:rPr>
                <w:t>Defaults Upon Senior Securities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12">
              <w:r>
                <w:rPr>
                  <w:rStyle w:val="InternetLink"/>
                  <w:rFonts w:ascii="Times New Roman;sans-serif" w:hAnsi="Times New Roman;sans-serif"/>
                  <w:b w:val="false"/>
                  <w:color w:val="0000FF"/>
                  <w:sz w:val="20"/>
                  <w:u w:val="single"/>
                </w:rPr>
                <w:t>61</w:t>
              </w:r>
            </w:hyperlink>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15">
              <w:r>
                <w:rPr>
                  <w:rStyle w:val="InternetLink"/>
                  <w:rFonts w:ascii="Times New Roman;sans-serif" w:hAnsi="Times New Roman;sans-serif"/>
                  <w:b w:val="false"/>
                  <w:color w:val="0000FF"/>
                  <w:sz w:val="20"/>
                  <w:u w:val="single"/>
                </w:rPr>
                <w:t>Item 4.</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15">
              <w:r>
                <w:rPr>
                  <w:rStyle w:val="InternetLink"/>
                  <w:rFonts w:ascii="Times New Roman;sans-serif" w:hAnsi="Times New Roman;sans-serif"/>
                  <w:b w:val="false"/>
                  <w:color w:val="0000FF"/>
                  <w:sz w:val="20"/>
                  <w:u w:val="single"/>
                </w:rPr>
                <w:t>Mine Safety Disclosures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15">
              <w:r>
                <w:rPr>
                  <w:rStyle w:val="InternetLink"/>
                  <w:rFonts w:ascii="Times New Roman;sans-serif" w:hAnsi="Times New Roman;sans-serif"/>
                  <w:b w:val="false"/>
                  <w:color w:val="0000FF"/>
                  <w:sz w:val="20"/>
                  <w:u w:val="single"/>
                </w:rPr>
                <w:t>61</w:t>
              </w:r>
            </w:hyperlink>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18">
              <w:r>
                <w:rPr>
                  <w:rStyle w:val="InternetLink"/>
                  <w:rFonts w:ascii="Times New Roman;sans-serif" w:hAnsi="Times New Roman;sans-serif"/>
                  <w:b w:val="false"/>
                  <w:color w:val="0000FF"/>
                  <w:sz w:val="20"/>
                  <w:u w:val="single"/>
                </w:rPr>
                <w:t>Item 5.</w:t>
              </w:r>
            </w:hyperlink>
          </w:p>
        </w:tc>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18">
              <w:r>
                <w:rPr>
                  <w:rStyle w:val="InternetLink"/>
                  <w:rFonts w:ascii="Times New Roman;sans-serif" w:hAnsi="Times New Roman;sans-serif"/>
                  <w:b w:val="false"/>
                  <w:color w:val="0000FF"/>
                  <w:sz w:val="20"/>
                  <w:u w:val="single"/>
                </w:rPr>
                <w:t>Other Information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18">
              <w:r>
                <w:rPr>
                  <w:rStyle w:val="InternetLink"/>
                  <w:rFonts w:ascii="Times New Roman;sans-serif" w:hAnsi="Times New Roman;sans-serif"/>
                  <w:b w:val="false"/>
                  <w:color w:val="0000FF"/>
                  <w:sz w:val="20"/>
                  <w:u w:val="single"/>
                </w:rPr>
                <w:t>61</w:t>
              </w:r>
            </w:hyperlink>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21">
              <w:r>
                <w:rPr>
                  <w:rStyle w:val="InternetLink"/>
                  <w:rFonts w:ascii="Times New Roman;sans-serif" w:hAnsi="Times New Roman;sans-serif"/>
                  <w:b w:val="false"/>
                  <w:color w:val="0000FF"/>
                  <w:sz w:val="20"/>
                  <w:u w:val="single"/>
                </w:rPr>
                <w:t>Item 6.</w:t>
              </w:r>
            </w:hyperlink>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21">
              <w:r>
                <w:rPr>
                  <w:rStyle w:val="InternetLink"/>
                  <w:rFonts w:ascii="Times New Roman;sans-serif" w:hAnsi="Times New Roman;sans-serif"/>
                  <w:b w:val="false"/>
                  <w:color w:val="0000FF"/>
                  <w:sz w:val="20"/>
                  <w:u w:val="single"/>
                </w:rPr>
                <w:t>Exhibits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21">
              <w:r>
                <w:rPr>
                  <w:rStyle w:val="InternetLink"/>
                  <w:rFonts w:ascii="Times New Roman;sans-serif" w:hAnsi="Times New Roman;sans-serif"/>
                  <w:b w:val="false"/>
                  <w:color w:val="0000FF"/>
                  <w:sz w:val="20"/>
                  <w:u w:val="single"/>
                </w:rPr>
                <w:t>62</w:t>
              </w:r>
            </w:hyperlink>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58b8cf7e46d4fe6a61d648de5ff77fc_124">
              <w:r>
                <w:rPr>
                  <w:rStyle w:val="InternetLink"/>
                  <w:rFonts w:ascii="Times New Roman;sans-serif" w:hAnsi="Times New Roman;sans-serif"/>
                  <w:b w:val="false"/>
                  <w:color w:val="0000FF"/>
                  <w:sz w:val="20"/>
                  <w:u w:val="single"/>
                </w:rPr>
                <w:t>Signatures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58b8cf7e46d4fe6a61d648de5ff77fc_124">
              <w:r>
                <w:rPr>
                  <w:rStyle w:val="InternetLink"/>
                  <w:rFonts w:ascii="Times New Roman;sans-serif" w:hAnsi="Times New Roman;sans-serif"/>
                  <w:b w:val="false"/>
                  <w:color w:val="0000FF"/>
                  <w:sz w:val="20"/>
                  <w:u w:val="single"/>
                </w:rPr>
                <w:t>63</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materially from those expressed in, or implied by, the forward-looking statements included in this Quarterly Report as a result of various factors, many of which are beyond our control, including, among others: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inherent uncertainty of estimating reserves and the possibility that incurred losses may be greater than our estimate used to compute loss and loss adjustment expense reserves;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inaccurate estimates and judgments in our risk management may expose us to greater risks than intended;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downgrades in the financial strength rating or outlook of our regulated insurance subsidiaries impacting our competitive position and ability to attract and retain insurance business that our subsidiaries write and ultimately our financial condition;</w:t>
      </w:r>
    </w:p>
    <w:p>
      <w:pPr>
        <w:pStyle w:val="TextBody"/>
        <w:bidi w:val="0"/>
        <w:spacing w:lineRule="auto" w:line="288" w:before="0" w:after="120"/>
        <w:ind w:left="0" w:right="0" w:hanging="540"/>
        <w:jc w:val="both"/>
        <w:rPr/>
      </w:pPr>
      <w:r>
        <w:rPr>
          <w:color w:val="000000"/>
          <w:shd w:fill="FFFFFF" w:val="clear"/>
        </w:rPr>
        <w:t>•</w:t>
      </w:r>
      <w:r>
        <w:rPr>
          <w:rFonts w:ascii="Times New Roman;sans-serif" w:hAnsi="Times New Roman;sans-serif"/>
          <w:b w:val="false"/>
          <w:color w:val="000000"/>
          <w:sz w:val="20"/>
          <w:shd w:fill="FFFFFF" w:val="clear"/>
        </w:rPr>
        <w:t>the amount of the final post-closing adjustment to the purchase price received and the outcome of the litigation in connection with the sale of our casualty reinsurance business;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potential loss of key members of our management team or key employees, and our ability to attract and retain personnel;</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adverse economic and competitive factors resulting in the sale of fewer policies than expected or an increase in the frequency or severity of claims, or both;</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impact of a higher than expected inflationary environment on our reserves, loss adjustment expenses, the values of our investments and investment returns, and our compensation expenses;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exposure to credit risk, interest rate risk and other market risk in our investment portfolio and our reinsurers;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reliance on a select group of brokers and agents for a significant portion of our business and the impact of our potential failure to maintain such relationships;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reliance on a select group of customers for a significant portion of our business and the impact of our potential failure to maintain, or decision to terminate, such relationships;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our ability to obtain insurance and reinsurance coverage at prices and on terms that allow us to transfer risk, adequately protect our Company against financial loss and that supports our growth plans;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inherent uncertainty of estimating reinsurance recoverable on unpaid losses and the possibility that reinsurance may be less than our estimate of reinsurance recoverable on unpaid losses;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inadequacy of premiums we charge to compensate us for our losses incurred;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changes in laws or government regulation, including tax or insurance laws and regulations;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in the event we did not qualify for the insurance company exception to the passive foreign investment company (“PFIC”) rules and were therefore considered a PFIC, there could be material adverse tax consequences to an investor that is subject to U.S. federal income taxation;</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Company or its foreign subsidiary becoming subject to U.S. federal income taxation;</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a failure of any of the loss limitations or exclusions we utilize in our insurance products to shield us from unanticipated financial losses or legal exposures, or other liabilities;</w:t>
      </w:r>
    </w:p>
    <w:p>
      <w:pPr>
        <w:pStyle w:val="TextBody"/>
        <w:bidi w:val="0"/>
        <w:spacing w:lineRule="auto" w:line="288" w:before="0" w:after="120"/>
        <w:ind w:left="0" w:right="0" w:hanging="540"/>
        <w:jc w:val="both"/>
        <w:rPr/>
      </w:pPr>
      <w:r>
        <w:rPr>
          <w:color w:val="000000"/>
          <w:shd w:fill="FFFFFF" w:val="clear"/>
        </w:rPr>
        <w:t>•</w:t>
      </w:r>
      <w:r>
        <w:rPr>
          <w:rFonts w:ascii="Times New Roman;sans-serif" w:hAnsi="Times New Roman;sans-serif"/>
          <w:b w:val="false"/>
          <w:color w:val="000000"/>
          <w:sz w:val="20"/>
          <w:shd w:fill="FFFFFF" w:val="clear"/>
        </w:rPr>
        <w:t>losses from catastrophic events, such as natural disasters and terrorist acts, which substantially exceed our expectations and/or exceed the amount of reinsurance we have purchased to protect us from such events;</w:t>
      </w:r>
    </w:p>
    <w:p>
      <w:pPr>
        <w:pStyle w:val="TextBody"/>
        <w:bidi w:val="0"/>
        <w:spacing w:lineRule="auto" w:line="288" w:before="0" w:after="120"/>
        <w:ind w:left="0" w:right="0" w:hanging="540"/>
        <w:jc w:val="both"/>
        <w:rPr/>
      </w:pPr>
      <w:r>
        <w:rPr>
          <w:color w:val="000000"/>
          <w:shd w:fill="FFFFFF" w:val="clear"/>
        </w:rPr>
        <w:t>•</w:t>
      </w:r>
      <w:r>
        <w:rPr>
          <w:rFonts w:ascii="Times New Roman;sans-serif" w:hAnsi="Times New Roman;sans-serif"/>
          <w:b w:val="false"/>
          <w:color w:val="000000"/>
          <w:sz w:val="20"/>
        </w:rPr>
        <w:t>potential effects on our business of emerging claim and coverage issues;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potential impact of internal or external fraud, operational errors, systems malfunctions or cyber security incidents;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our ability to manage our growth effectively;</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failure to maintain effective internal controls in accordance with the Sarbanes-Oxley Act of 2002, as amended;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changes in our financial condition, regulations or other factors that may restrict our subsidiaries’ ability to pay us dividends;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an adverse result in any litigation or legal proceedings we are or may become subject to; and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other risks and uncertainties discussed under “Risk Factors” and elsewhere in this Quarterly Report.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you should read this Quarterly Report completely and with the understanding that our actual future results may be materially different from information contained in the forward-looking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2024 filed with the SEC on March 4, 2025.</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68"/>
        <w:gridCol w:w="2173"/>
        <w:gridCol w:w="2168"/>
        <w:gridCol w:w="264"/>
        <w:gridCol w:w="1225"/>
        <w:gridCol w:w="136"/>
        <w:gridCol w:w="109"/>
        <w:gridCol w:w="109"/>
        <w:gridCol w:w="109"/>
        <w:gridCol w:w="211"/>
        <w:gridCol w:w="976"/>
        <w:gridCol w:w="157"/>
      </w:tblGrid>
      <w:tr>
        <w:trPr/>
        <w:tc>
          <w:tcPr>
            <w:tcW w:w="256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6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 at fair value (amortized cost: 2025 – $1,330,102; 2024 – $1,278,337)</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 (cost: 2025 – $83,236; 2024 – $82,678)</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at fair value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1,623,246 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1,552,396 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 net</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1,984,292 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1,996,913 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paid losses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4,949,015 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5,007,076 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(continued)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53"/>
        <w:gridCol w:w="2225"/>
        <w:gridCol w:w="2230"/>
        <w:gridCol w:w="248"/>
        <w:gridCol w:w="1150"/>
        <w:gridCol w:w="128"/>
        <w:gridCol w:w="109"/>
        <w:gridCol w:w="109"/>
        <w:gridCol w:w="109"/>
        <w:gridCol w:w="211"/>
        <w:gridCol w:w="976"/>
        <w:gridCol w:w="157"/>
      </w:tblGrid>
      <w:tr>
        <w:trPr/>
        <w:tc>
          <w:tcPr>
            <w:tcW w:w="2553"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3,081,540 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3,084,406 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reinsurers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4,331,420 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4,413,046 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 (Note 8)</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 – 2025 and 2024: 165,000 shares authorized; 112,500 shares issued and outstanding</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 2025 and 2024: $0.0002 par value; 200,000,000 shares authorized; 45,892,706 and 45,644,318 shares issued and outstanding, respectively</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 2025 and 2024: $0.00125 par value; 19,835,000 shares authorized; no shares issued and outstanding</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(395,280)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Series A redeemable preferred shares, and shareholders’ equity</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4,949,015 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5,007,076 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 (Unaudited)</w:t>
      </w:r>
    </w:p>
    <w:p>
      <w:pPr>
        <w:pStyle w:val="TextBody"/>
        <w:bidi w:val="0"/>
        <w:spacing w:before="0" w:after="0"/>
        <w:jc w:val="center"/>
        <w:rPr/>
      </w:pPr>
      <w:r>
        <w:rPr/>
      </w:r>
    </w:p>
    <w:tbl>
      <w:tblPr>
        <w:tblW w:w="9110" w:type="dxa"/>
        <w:jc w:val="center"/>
        <w:tblInd w:w="0" w:type="dxa"/>
        <w:tblLayout w:type="fixed"/>
        <w:tblCellMar>
          <w:top w:w="28" w:type="dxa"/>
          <w:left w:w="28" w:type="dxa"/>
          <w:bottom w:w="28" w:type="dxa"/>
          <w:right w:w="28" w:type="dxa"/>
        </w:tblCellMar>
      </w:tblPr>
      <w:tblGrid>
        <w:gridCol w:w="2107"/>
        <w:gridCol w:w="1850"/>
        <w:gridCol w:w="1878"/>
        <w:gridCol w:w="109"/>
        <w:gridCol w:w="109"/>
        <w:gridCol w:w="139"/>
        <w:gridCol w:w="139"/>
        <w:gridCol w:w="251"/>
        <w:gridCol w:w="945"/>
        <w:gridCol w:w="140"/>
        <w:gridCol w:w="109"/>
        <w:gridCol w:w="109"/>
        <w:gridCol w:w="109"/>
        <w:gridCol w:w="202"/>
        <w:gridCol w:w="759"/>
        <w:gridCol w:w="155"/>
      </w:tblGrid>
      <w:tr>
        <w:trPr/>
        <w:tc>
          <w:tcPr>
            <w:tcW w:w="210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(166,405)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127,956 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net unearned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151,902 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realized and unrealized (losses)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172,289 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156,280 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 (Note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gains (losses), net of taxes of $3,807 in 2025 and $(2,066) in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23,896 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45,803,501 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37,733,710 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59,659,075 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44,638,969 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i/>
          <w:color w:val="000000"/>
          <w:sz w:val="20"/>
        </w:rPr>
        <w:t>See accompanying notes.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421" w:type="dxa"/>
        <w:jc w:val="left"/>
        <w:tblInd w:w="0" w:type="dxa"/>
        <w:tblLayout w:type="fixed"/>
        <w:tblCellMar>
          <w:top w:w="28" w:type="dxa"/>
          <w:left w:w="28" w:type="dxa"/>
          <w:bottom w:w="28" w:type="dxa"/>
          <w:right w:w="28" w:type="dxa"/>
        </w:tblCellMar>
      </w:tblPr>
      <w:tblGrid>
        <w:gridCol w:w="621"/>
        <w:gridCol w:w="282"/>
        <w:gridCol w:w="283"/>
        <w:gridCol w:w="480"/>
        <w:gridCol w:w="481"/>
        <w:gridCol w:w="336"/>
        <w:gridCol w:w="109"/>
        <w:gridCol w:w="109"/>
        <w:gridCol w:w="109"/>
        <w:gridCol w:w="274"/>
        <w:gridCol w:w="338"/>
        <w:gridCol w:w="154"/>
        <w:gridCol w:w="109"/>
        <w:gridCol w:w="109"/>
        <w:gridCol w:w="109"/>
        <w:gridCol w:w="223"/>
        <w:gridCol w:w="463"/>
        <w:gridCol w:w="12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45,644,318 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(69,997)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248,388 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common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45,892,706 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(55,675)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484,480 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80"/>
        <w:gridCol w:w="479"/>
        <w:gridCol w:w="480"/>
        <w:gridCol w:w="480"/>
        <w:gridCol w:w="481"/>
        <w:gridCol w:w="109"/>
        <w:gridCol w:w="109"/>
        <w:gridCol w:w="109"/>
        <w:gridCol w:w="109"/>
        <w:gridCol w:w="196"/>
        <w:gridCol w:w="241"/>
        <w:gridCol w:w="109"/>
        <w:gridCol w:w="109"/>
        <w:gridCol w:w="109"/>
        <w:gridCol w:w="109"/>
        <w:gridCol w:w="196"/>
        <w:gridCol w:w="406"/>
        <w:gridCol w:w="109"/>
        <w:gridCol w:w="109"/>
        <w:gridCol w:w="109"/>
        <w:gridCol w:w="109"/>
        <w:gridCol w:w="196"/>
        <w:gridCol w:w="736"/>
        <w:gridCol w:w="109"/>
        <w:gridCol w:w="109"/>
        <w:gridCol w:w="109"/>
        <w:gridCol w:w="109"/>
        <w:gridCol w:w="196"/>
        <w:gridCol w:w="764"/>
        <w:gridCol w:w="109"/>
        <w:gridCol w:w="109"/>
        <w:gridCol w:w="109"/>
        <w:gridCol w:w="109"/>
        <w:gridCol w:w="196"/>
        <w:gridCol w:w="674"/>
        <w:gridCol w:w="109"/>
        <w:gridCol w:w="109"/>
        <w:gridCol w:w="109"/>
        <w:gridCol w:w="109"/>
        <w:gridCol w:w="196"/>
        <w:gridCol w:w="736"/>
        <w:gridCol w:w="156"/>
      </w:tblGrid>
      <w:tr>
        <w:trPr/>
        <w:tc>
          <w:tcPr>
            <w:tcW w:w="78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396" w:type="dxa"/>
            <w:gridSpan w:val="36"/>
            <w:tcBorders/>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37,641,563 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common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37,822,340 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before="0" w:after="0"/>
        <w:jc w:val="left"/>
        <w:rPr/>
      </w:pPr>
      <w:r>
        <w:rPr/>
      </w:r>
    </w:p>
    <w:tbl>
      <w:tblPr>
        <w:tblW w:w="9068" w:type="dxa"/>
        <w:jc w:val="center"/>
        <w:tblInd w:w="0" w:type="dxa"/>
        <w:tblLayout w:type="fixed"/>
        <w:tblCellMar>
          <w:top w:w="28" w:type="dxa"/>
          <w:left w:w="28" w:type="dxa"/>
          <w:bottom w:w="28" w:type="dxa"/>
          <w:right w:w="28" w:type="dxa"/>
        </w:tblCellMar>
      </w:tblPr>
      <w:tblGrid>
        <w:gridCol w:w="2320"/>
        <w:gridCol w:w="2035"/>
        <w:gridCol w:w="2049"/>
        <w:gridCol w:w="211"/>
        <w:gridCol w:w="826"/>
        <w:gridCol w:w="109"/>
        <w:gridCol w:w="109"/>
        <w:gridCol w:w="109"/>
        <w:gridCol w:w="109"/>
        <w:gridCol w:w="211"/>
        <w:gridCol w:w="826"/>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redemptions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and principal repayments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receivable or payable,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issuances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withheld and remitted on net settlement of RSUs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16"/>
        </w:rPr>
        <w:t xml:space="preserve">(a) Cash provided by operating activities for the three months ended March 31, 2025 and 2024 includes the restricted cash activity above related to a former insured, per the terms of a collateral trust. See “Item 2. Management’s Discussion and Analysis of Financial Condition and Results of Operations – </w:t>
      </w:r>
      <w:r>
        <w:rPr>
          <w:rFonts w:ascii="Times New Roman;sans-serif" w:hAnsi="Times New Roman;sans-serif"/>
          <w:b w:val="false"/>
          <w:i/>
          <w:color w:val="000000"/>
          <w:sz w:val="16"/>
        </w:rPr>
        <w:t>Amounts Recoverable from an Indemnifying Party and Reinsurer on Legacy Commercial Auto Book</w:t>
      </w:r>
      <w:r>
        <w:rPr>
          <w:color w:val="000000"/>
        </w:rPr>
        <w:t>”</w:t>
      </w:r>
      <w:r>
        <w:rPr>
          <w:rFonts w:ascii="Times New Roman;sans-serif" w:hAnsi="Times New Roman;sans-serif"/>
          <w:b w:val="false"/>
          <w:color w:val="000000"/>
          <w:sz w:val="16"/>
        </w:rPr>
        <w:t>. Excluding the restricted cash activity, cash (used in) provided by operating activities was $(51.8) million and $23.1 million for the three months ended March 31, 2025 and 2024, respectively.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(referred to as “JRG Holdings” or, with its subsidiaries, the “Company”) is an exempted holding company registered in Bermuda, organized for the purpose of acquiring and managing insurance entities.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five insurance companies based in the United States (“U.S.”) focused on specialty insurance niches as described below:</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Holdings UK Limited (“James River UK”) is an insurance holding company formed in 2015 in the United Kingdom (“U.K.”). JRG Holdings contributed James River Group, Inc. (“James River Group”), a U.S. insurance holding company, to James River UK in 2015.</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Insurance Company is an Ohio domiciled excess and surplus lines insurance company that, with its wholly-owned insurance subsidiary, James River Casualty Company, an Ohio domiciled company, is authorized to write business in every state and the District of Columbia.</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Falls Lake National Insurance Company (“Falls Lake National”) is an Ohio domiciled insurance company which wholly owns Stonewood Insurance Company, an Ohio domiciled company, and Falls Lake Fire and Casualty Company, a California domiciled company. Falls Lake National and its subsidiaries primarily write specialty admitted fronting and program business.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The Company has no continued involvement with JRG Re following the sale. See Discontinued Operations below and Note 2 for additional disclosure.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2024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2024 was derived from the Company’s audited annual consolidated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Intercompany transactions and balances have been eliminated.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Discontinued Operations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a component of the Company are reported in discontinued operations when certain criteria are met as of the date of disposal, or earlier if classified as held-for-sale. The Company determined that the sale of JRG Re, which closed on April 16, 2024, represented a strategic shift that will have a major effect on the Company's operations. Accordingly, the results of JRG Re's operations have been presented as discontinued operations for all periods presented in this interim report on Form 10-Q. See Note 2 for additional disclosure.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Preparation of the condensed consolidated financial statements in conformity with U.S. GAAP requires management to make estimates and assumptions that affect the amounts reported in the condensed consolidated financial statements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accompanying disclosures. Those estimates are inherently subject to change, and actual results may ultimately differ from those estimates.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$7.6 million at March 31, 2025 and $7.7 million at December 31, 2024, representing the Company’s maximum exposure to loss.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from continuing operations reported by country and the respective tax rates imposed by each tax jurisdiction. Statutory tax rates are 0% and 21% for Bermuda and the U.S. For the three months ended March 31, 2025 and 2024, our effective tax rate on income from continuing operations was 31.4% and 28.7%, respectively.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standards adopted in 2025 that materially impacted the Company's financial statements.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Prospective Accounting Standards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guidance in ASU 2023-09</w:t>
      </w:r>
      <w:r>
        <w:rPr>
          <w:color w:val="000000"/>
        </w:rPr>
        <w:t>—</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was designed to increase transparency about income tax information through improvements to the rate reconciliation and disclosure of income taxes paid. This ASU is effective for fiscal years beginning after December 15, 2024. Although the Company continues to evaluate the impact of adopting this new accounting standard, the amendments are disclosure-related and are not expected to have a material impact on the Company's financial statements.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guidance in ASU 2024-03</w:t>
      </w:r>
      <w:r>
        <w:rPr>
          <w:rFonts w:ascii="Times New Roman;sans-serif" w:hAnsi="Times New Roman;sans-serif"/>
          <w:b w:val="false"/>
          <w:i/>
          <w:color w:val="000000"/>
          <w:sz w:val="20"/>
        </w:rPr>
        <w:t>, Income Statement - Reporting Comprehensive Income - Expense Disaggregation Disclosures (Subtopic 220-40): Disaggregation of Income Statement Expenses</w:t>
      </w:r>
      <w:r>
        <w:rPr>
          <w:color w:val="000000"/>
        </w:rPr>
        <w:t xml:space="preserve"> </w:t>
      </w:r>
      <w:r>
        <w:rPr>
          <w:rFonts w:ascii="Times New Roman;sans-serif" w:hAnsi="Times New Roman;sans-serif"/>
          <w:b w:val="false"/>
          <w:color w:val="000000"/>
          <w:sz w:val="20"/>
        </w:rPr>
        <w:t>requires additional, disaggregated disclosure around certain income statement expense line items. This ASU is effective for fiscal years beginning after December 15, 2026 and interim periods beginning after December 15, 2027, although early adoption is permitted. The Company is in the process of evaluating the impact of this new guidance on the disclosures in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the Company entered into a Stock Purchase Agreement (the “Stock Purchase Agreement”) with Fleming Intermediate Holdings LLC, a Cayman Islands limited liability company (“Fleming”). Pursuant to the Stock Purchase Agreement, and on the terms and subject to the conditions therein, Fleming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Stock Purchase Agreement, the aggregate consideration received by the Company, after giving effect to estimated adjustments based on changes in JRG Re’s adjusted net worth between March 31, 2023 and the closing, totaled approximately $291.4 million (the “Closing Date Purchase Price”). The aggregate Closing Date Purchase Price was comprised of (i) $152.4 million paid in cash by Fleming and (ii) an aggregate $139.0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was subject to final post-closing adjustments, which resulted in the downward adjustment to the cash portion of the Closing Date Purchase Price discussed below.</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Stock Purchase Agreement, Fleming delivered a closing statement to the Company, and pursuant to the procedures in the Stock Purchase Agreement, the Company gave its notice of disagreement with Fleming’s closing statement following review. In its notice of disagreement, the Company (i) agreed with an $11.4 million downward adjustment to the Closing Date Purchase Price due to losses from JRG Re’s operations between the date of the balance sheet used to produce the estimated closing statement and the Closing Date, which downward adjustment was paid to Fleming on October 18, 2024, and (ii) disputed $54.1 million in aggregate downward adjustments to the Closing Date Purchase Price claimed by Fleming, which the Company believed were unsupported by the facts known to the Company and the terms of the Stock Purchase Agreement. Pursuant to the terms of the Stock Purchase Agreement, the parties appointed an independent accounting firm to resolve the disputed items in Fleming's closing statement. On April 18, 2025, the independent accounting firm issued its final determination, which resulted in a downward adjustment to the Closing Date Purchase Price of $483,625. Pursuant to the Stock Purchase Agreement, this determination by the independent accounting firm is final, binding and conclusive for all purposes of determining the purchase price. The Company recorded a liability of $519,577 at March 31, 2025 for the downward adjustment to the Closing Date Purchase Price of $483,625 plus $35,952 of interest due pursuant to the terms of the Stock Purchase Agreement. The $519,577 represents an increase in the loss on disposal of JRG 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sale of JRG Re represented a strategic shift that will have a major effect on its operations. Accordingly, the results of JRG Re's operations have been presented as discontinued operations for all periods presented in this interim report on Form 10-Q.</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$139.0 million pre-closing dividend was completed in the first quarter of 2024. It included the forgiveness of $133.2 million owed from JRG Holdings to JRG Re and $5.8 million paid in cash to JRG Holdings. In the fourth quarter of 2023, after giving effect to the pre-closing dividend, the Company recorded an estimated loss on sale of $80.4 million to write down the carrying value of JRG Re to its estimated fair value based upon the estimated sales price of the transaction less costs to sell and other adjustments in accordance with the Stock Purchase Agreement. In the three months ended March 31, 2024, the estimated loss on the sale was revised to $78.9 million. The loss on disposal for the three months ended March 31, 2024 of $172,000 includes the $1.5 million gain for the change in the estimated loss on sale and selling costs incurred of $1.7 million. For the three months ended March 31, 2025, the loss on disposal of $1.4 million included the $520,000 downward adjustment to the Closing Date Purchase Price plus interest and $894,000 of additional selling costs incurred by the Company related to the sale of JRG Re.</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JRG Re reported in discontinued operations were as follows:</w:t>
      </w:r>
    </w:p>
    <w:tbl>
      <w:tblPr>
        <w:tblW w:w="7163" w:type="dxa"/>
        <w:jc w:val="left"/>
        <w:tblInd w:w="0" w:type="dxa"/>
        <w:tblLayout w:type="fixed"/>
        <w:tblCellMar>
          <w:top w:w="28" w:type="dxa"/>
          <w:left w:w="28" w:type="dxa"/>
          <w:bottom w:w="28" w:type="dxa"/>
          <w:right w:w="28" w:type="dxa"/>
        </w:tblCellMar>
      </w:tblPr>
      <w:tblGrid>
        <w:gridCol w:w="1499"/>
        <w:gridCol w:w="1317"/>
        <w:gridCol w:w="1324"/>
        <w:gridCol w:w="109"/>
        <w:gridCol w:w="109"/>
        <w:gridCol w:w="185"/>
        <w:gridCol w:w="185"/>
        <w:gridCol w:w="358"/>
        <w:gridCol w:w="690"/>
        <w:gridCol w:w="185"/>
        <w:gridCol w:w="109"/>
        <w:gridCol w:w="109"/>
        <w:gridCol w:w="109"/>
        <w:gridCol w:w="224"/>
        <w:gridCol w:w="497"/>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02" w:type="dxa"/>
            <w:gridSpan w:val="6"/>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discontinued operations included in the consolidated statements of cash flows were as follows:</w:t>
      </w:r>
    </w:p>
    <w:tbl>
      <w:tblPr>
        <w:tblW w:w="7884" w:type="dxa"/>
        <w:jc w:val="left"/>
        <w:tblInd w:w="0" w:type="dxa"/>
        <w:tblLayout w:type="fixed"/>
        <w:tblCellMar>
          <w:top w:w="28" w:type="dxa"/>
          <w:left w:w="28" w:type="dxa"/>
          <w:bottom w:w="28" w:type="dxa"/>
          <w:right w:w="28" w:type="dxa"/>
        </w:tblCellMar>
      </w:tblPr>
      <w:tblGrid>
        <w:gridCol w:w="2056"/>
        <w:gridCol w:w="1802"/>
        <w:gridCol w:w="1812"/>
        <w:gridCol w:w="211"/>
        <w:gridCol w:w="406"/>
        <w:gridCol w:w="109"/>
        <w:gridCol w:w="109"/>
        <w:gridCol w:w="109"/>
        <w:gridCol w:w="109"/>
        <w:gridCol w:w="211"/>
        <w:gridCol w:w="79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discontinued operations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by discontinued operations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3.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available-for-sale fixed maturity securities are summarized as follows:</w:t>
      </w:r>
    </w:p>
    <w:tbl>
      <w:tblPr>
        <w:tblW w:w="10205" w:type="dxa"/>
        <w:jc w:val="left"/>
        <w:tblInd w:w="0" w:type="dxa"/>
        <w:tblLayout w:type="fixed"/>
        <w:tblCellMar>
          <w:top w:w="28" w:type="dxa"/>
          <w:left w:w="28" w:type="dxa"/>
          <w:bottom w:w="28" w:type="dxa"/>
          <w:right w:w="28" w:type="dxa"/>
        </w:tblCellMar>
      </w:tblPr>
      <w:tblGrid>
        <w:gridCol w:w="1712"/>
        <w:gridCol w:w="1508"/>
        <w:gridCol w:w="1337"/>
        <w:gridCol w:w="211"/>
        <w:gridCol w:w="976"/>
        <w:gridCol w:w="109"/>
        <w:gridCol w:w="109"/>
        <w:gridCol w:w="109"/>
        <w:gridCol w:w="109"/>
        <w:gridCol w:w="211"/>
        <w:gridCol w:w="616"/>
        <w:gridCol w:w="109"/>
        <w:gridCol w:w="109"/>
        <w:gridCol w:w="109"/>
        <w:gridCol w:w="109"/>
        <w:gridCol w:w="211"/>
        <w:gridCol w:w="773"/>
        <w:gridCol w:w="109"/>
        <w:gridCol w:w="109"/>
        <w:gridCol w:w="109"/>
        <w:gridCol w:w="109"/>
        <w:gridCol w:w="211"/>
        <w:gridCol w:w="976"/>
        <w:gridCol w:w="155"/>
      </w:tblGrid>
      <w:tr>
        <w:trPr/>
        <w:tc>
          <w:tcPr>
            <w:tcW w:w="171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1,189,733 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available-for-sale investments in fixed maturity securities at March 31, 2025 are summarized, by contractual maturity, as follows:</w:t>
      </w:r>
    </w:p>
    <w:tbl>
      <w:tblPr>
        <w:tblW w:w="6308" w:type="dxa"/>
        <w:jc w:val="left"/>
        <w:tblInd w:w="0" w:type="dxa"/>
        <w:tblLayout w:type="fixed"/>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for some securities because borrowers have the right to call or prepay obligations with or without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863"/>
        <w:gridCol w:w="589"/>
        <w:gridCol w:w="307"/>
        <w:gridCol w:w="211"/>
        <w:gridCol w:w="826"/>
        <w:gridCol w:w="109"/>
        <w:gridCol w:w="109"/>
        <w:gridCol w:w="109"/>
        <w:gridCol w:w="109"/>
        <w:gridCol w:w="211"/>
        <w:gridCol w:w="738"/>
        <w:gridCol w:w="109"/>
        <w:gridCol w:w="109"/>
        <w:gridCol w:w="109"/>
        <w:gridCol w:w="109"/>
        <w:gridCol w:w="211"/>
        <w:gridCol w:w="826"/>
        <w:gridCol w:w="109"/>
        <w:gridCol w:w="109"/>
        <w:gridCol w:w="109"/>
        <w:gridCol w:w="109"/>
        <w:gridCol w:w="211"/>
        <w:gridCol w:w="738"/>
        <w:gridCol w:w="109"/>
        <w:gridCol w:w="109"/>
        <w:gridCol w:w="109"/>
        <w:gridCol w:w="109"/>
        <w:gridCol w:w="211"/>
        <w:gridCol w:w="976"/>
        <w:gridCol w:w="109"/>
        <w:gridCol w:w="109"/>
        <w:gridCol w:w="109"/>
        <w:gridCol w:w="109"/>
        <w:gridCol w:w="211"/>
        <w:gridCol w:w="738"/>
        <w:gridCol w:w="158"/>
      </w:tblGrid>
      <w:tr>
        <w:trPr/>
        <w:tc>
          <w:tcPr>
            <w:tcW w:w="86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4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held fixed maturity securities of 420 issuers that were in an unrealized loss position with a total fair value of $947.5 million and gross unrealized losses of $74.7 million. None of the fixed maturity securities with unrealized losses has ever missed, or been delinquent on a scheduled principal or interest payment. At March 31, 2025, 100.0% of the Company’s fixed maturity security portfolio was rated “BBB-” or better (“investment grade”) by Standard &amp; Poor’s or received an equivalent rating from another nationally recognized rating agency.</w:t>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ans-serif" w:hAnsi="Times New Roman;sans-serif"/>
          <w:b w:val="false"/>
          <w:color w:val="000000"/>
          <w:sz w:val="20"/>
        </w:rPr>
        <w:t>et realized and unrealized gains (losses) on investments</w:t>
      </w:r>
      <w:r>
        <w:rPr>
          <w:rFonts w:ascii="Times New Roman;sans-serif" w:hAnsi="Times New Roman;sans-serif"/>
          <w:b w:val="false"/>
          <w:color w:val="231F20"/>
          <w:sz w:val="20"/>
        </w:rPr>
        <w:t>. Unrealized losses that are not credit-related are recognized in other comprehensive income.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March 31, 2025, December 31, 2024, or March 31, 2024. For securities in an unrealized loss position at March 31, 2025, management does not intend to sell the securities, and </w:t>
      </w:r>
      <w:r>
        <w:rPr>
          <w:rFonts w:ascii="Times New Roman;sans-serif" w:hAnsi="Times New Roman;sans-serif"/>
          <w:b w:val="false"/>
          <w:color w:val="231F20"/>
          <w:sz w:val="20"/>
        </w:rPr>
        <w:t>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the fair value option to account for bank loan participations. Under the fair value option, bank loan participations are measured at fair value, and changes in unrealized gains and losses in bank loan participations are reported in the income statement as net realized and unrealized gains (losses) on investments. Applying the fair value option to the 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 portfolio increases volatility in the Company's financial statements, but management believes it is less subjective and less burdensome to implement and maintain than ASU 2016-13, which would have otherwise been required. </w:t>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 xml:space="preserve">At March 31, 2025, the Company's bank loan portfolio had an aggregate fair value of $144.0 million and unpaid principal of </w:t>
      </w:r>
      <w:r>
        <w:rPr>
          <w:rFonts w:ascii="Times New Roman;sans-serif" w:hAnsi="Times New Roman;sans-serif"/>
          <w:b w:val="false"/>
          <w:color w:val="000000"/>
          <w:sz w:val="20"/>
        </w:rPr>
        <w:t xml:space="preserve">$151.1 million. </w:t>
      </w:r>
      <w:r>
        <w:rPr>
          <w:rFonts w:ascii="Times New Roman;sans-serif" w:hAnsi="Times New Roman;sans-serif"/>
          <w:b w:val="false"/>
          <w:color w:val="231F20"/>
          <w:sz w:val="20"/>
        </w:rPr>
        <w:t xml:space="preserve">Investment income on bank loan participations included in net investment income was $3.2 million and </w:t>
      </w:r>
      <w:r>
        <w:rPr>
          <w:rFonts w:ascii="Times New Roman;sans-serif" w:hAnsi="Times New Roman;sans-serif"/>
          <w:b w:val="false"/>
          <w:color w:val="000000"/>
          <w:sz w:val="20"/>
        </w:rPr>
        <w:t xml:space="preserve">$4.5 million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months ended March 31, 2025 and 2024, respectively.</w:t>
      </w:r>
      <w:r>
        <w:rPr>
          <w:color w:val="000000"/>
        </w:rPr>
        <w:t xml:space="preserve"> </w:t>
      </w:r>
      <w:r>
        <w:rPr>
          <w:rFonts w:ascii="Times New Roman;sans-serif" w:hAnsi="Times New Roman;sans-serif"/>
          <w:b w:val="false"/>
          <w:color w:val="231F20"/>
          <w:sz w:val="20"/>
        </w:rPr>
        <w:t xml:space="preserve">Net realized and unrealized losses on bank loan participations were </w:t>
      </w:r>
      <w:r>
        <w:rPr>
          <w:rFonts w:ascii="Times New Roman;sans-serif" w:hAnsi="Times New Roman;sans-serif"/>
          <w:b w:val="false"/>
          <w:color w:val="000000"/>
          <w:sz w:val="20"/>
        </w:rPr>
        <w:t xml:space="preserve">$2.3 million and $281,000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March 31, 2025 and 2024, respectively. As of March 31, 2025, management concluded that the unrealized losses of one bank loan issuer was due to a credit-related impairment. For the </w:t>
      </w:r>
      <w:r>
        <w:rPr>
          <w:rFonts w:ascii="Times New Roman;sans-serif" w:hAnsi="Times New Roman;sans-serif"/>
          <w:b w:val="false"/>
          <w:color w:val="000000"/>
          <w:sz w:val="20"/>
        </w:rPr>
        <w:t>three months ended March 31, 2024</w:t>
      </w:r>
      <w:r>
        <w:rPr>
          <w:rFonts w:ascii="Times New Roman;sans-serif" w:hAnsi="Times New Roman;sans-serif"/>
          <w:b w:val="false"/>
          <w:color w:val="231F20"/>
          <w:sz w:val="20"/>
        </w:rPr>
        <w:t xml:space="preserve">, management concluded that </w:t>
      </w:r>
      <w:r>
        <w:rPr>
          <w:rFonts w:ascii="Times New Roman;sans-serif" w:hAnsi="Times New Roman;sans-serif"/>
          <w:b w:val="false"/>
          <w:color w:val="000000"/>
          <w:sz w:val="20"/>
        </w:rPr>
        <w:t xml:space="preserve">$530,000 </w:t>
      </w:r>
      <w:r>
        <w:rPr>
          <w:rFonts w:ascii="Times New Roman;sans-serif" w:hAnsi="Times New Roman;sans-serif"/>
          <w:b w:val="false"/>
          <w:color w:val="231F20"/>
          <w:sz w:val="20"/>
        </w:rPr>
        <w:t>of the net realized and unrealized 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2025 or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realized and unrealized gains and losses on investments are summarized as follows:</w:t>
      </w:r>
    </w:p>
    <w:tbl>
      <w:tblPr>
        <w:tblW w:w="7958" w:type="dxa"/>
        <w:jc w:val="left"/>
        <w:tblInd w:w="0" w:type="dxa"/>
        <w:tblLayout w:type="fixed"/>
        <w:tblCellMar>
          <w:top w:w="28" w:type="dxa"/>
          <w:left w:w="28" w:type="dxa"/>
          <w:bottom w:w="28" w:type="dxa"/>
          <w:right w:w="28" w:type="dxa"/>
        </w:tblCellMar>
      </w:tblPr>
      <w:tblGrid>
        <w:gridCol w:w="1749"/>
        <w:gridCol w:w="1538"/>
        <w:gridCol w:w="1542"/>
        <w:gridCol w:w="109"/>
        <w:gridCol w:w="109"/>
        <w:gridCol w:w="142"/>
        <w:gridCol w:w="142"/>
        <w:gridCol w:w="275"/>
        <w:gridCol w:w="902"/>
        <w:gridCol w:w="142"/>
        <w:gridCol w:w="109"/>
        <w:gridCol w:w="109"/>
        <w:gridCol w:w="109"/>
        <w:gridCol w:w="211"/>
        <w:gridCol w:w="616"/>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short-term investments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Realized investment gains or losses are determined on a specific identification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which together comprise the Company’s other invested assets, are primarily focused in renewable energy, limited partnerships, and private debt.</w:t>
      </w:r>
    </w:p>
    <w:tbl>
      <w:tblPr>
        <w:tblW w:w="9536" w:type="dxa"/>
        <w:jc w:val="left"/>
        <w:tblInd w:w="0" w:type="dxa"/>
        <w:tblLayout w:type="fixed"/>
        <w:tblCellMar>
          <w:top w:w="28" w:type="dxa"/>
          <w:left w:w="28" w:type="dxa"/>
          <w:bottom w:w="28" w:type="dxa"/>
          <w:right w:w="28" w:type="dxa"/>
        </w:tblCellMar>
      </w:tblPr>
      <w:tblGrid>
        <w:gridCol w:w="1180"/>
        <w:gridCol w:w="1036"/>
        <w:gridCol w:w="1039"/>
        <w:gridCol w:w="211"/>
        <w:gridCol w:w="721"/>
        <w:gridCol w:w="109"/>
        <w:gridCol w:w="109"/>
        <w:gridCol w:w="109"/>
        <w:gridCol w:w="109"/>
        <w:gridCol w:w="222"/>
        <w:gridCol w:w="759"/>
        <w:gridCol w:w="114"/>
        <w:gridCol w:w="109"/>
        <w:gridCol w:w="109"/>
        <w:gridCol w:w="109"/>
        <w:gridCol w:w="109"/>
        <w:gridCol w:w="109"/>
        <w:gridCol w:w="174"/>
        <w:gridCol w:w="174"/>
        <w:gridCol w:w="337"/>
        <w:gridCol w:w="745"/>
        <w:gridCol w:w="174"/>
        <w:gridCol w:w="109"/>
        <w:gridCol w:w="109"/>
        <w:gridCol w:w="109"/>
        <w:gridCol w:w="211"/>
        <w:gridCol w:w="541"/>
        <w:gridCol w:w="109"/>
        <w:gridCol w:w="109"/>
        <w:gridCol w:w="109"/>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LLCs </w:t>
            </w:r>
            <w:r>
              <w:rPr>
                <w:rFonts w:ascii="Times New Roman;sans-serif" w:hAnsi="Times New Roman;sans-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Renewable energy notes receivable (</w:t>
            </w:r>
            <w:r>
              <w:rPr>
                <w:rFonts w:ascii="Times New Roman;sans-serif" w:hAnsi="Times New Roman;sans-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Limited partnerships </w:t>
            </w:r>
            <w:r>
              <w:rPr>
                <w:rFonts w:ascii="Times New Roman;sans-serif" w:hAnsi="Times New Roman;sans-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Private Debt </w:t>
            </w:r>
            <w:r>
              <w:rPr>
                <w:rFonts w:ascii="Times New Roman;sans-serif" w:hAnsi="Times New Roman;sans-serif"/>
                <w:b w:val="false"/>
                <w:i/>
                <w:color w:val="000000"/>
                <w:sz w:val="20"/>
              </w:rPr>
              <w:t>(d)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hanging="360"/>
        <w:jc w:val="both"/>
        <w:rPr/>
      </w:pPr>
      <w:r>
        <w:rPr>
          <w:rFonts w:ascii="Times New Roman;sans-serif" w:hAnsi="Times New Roman;sans-serif"/>
          <w:b w:val="false"/>
          <w:color w:val="231F20"/>
          <w:sz w:val="20"/>
        </w:rPr>
        <w:t>(a)</w:t>
      </w:r>
      <w:r>
        <w:rPr>
          <w:rFonts w:ascii="Times New Roman;sans-serif" w:hAnsi="Times New Roman;sans-serif"/>
          <w:b w:val="false"/>
          <w:color w:val="000000"/>
          <w:sz w:val="20"/>
        </w:rPr>
        <w:t>The Company's Excess and Surplus Lines segment owns equity interests ranging from 3.6% to 5.0% in various LLCs whose principal objective is capital appreciation and income generation from owning and operating renewable energy production facilities (wind and solar).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$48,000 and $14,000 in the three months ended March 31, 2025 and 2024, respectively.</w:t>
      </w:r>
    </w:p>
    <w:p>
      <w:pPr>
        <w:pStyle w:val="TextBody"/>
        <w:bidi w:val="0"/>
        <w:spacing w:lineRule="auto" w:line="288" w:before="0" w:after="12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231F20"/>
          <w:sz w:val="20"/>
        </w:rPr>
        <w:t xml:space="preserve">The Company's </w:t>
      </w:r>
      <w:r>
        <w:rPr>
          <w:rFonts w:ascii="Times New Roman;sans-serif" w:hAnsi="Times New Roman;sans-serif"/>
          <w:b w:val="false"/>
          <w:color w:val="000000"/>
          <w:sz w:val="20"/>
        </w:rPr>
        <w:t xml:space="preserve">Excess and Surplus Lines and </w:t>
      </w:r>
      <w:r>
        <w:rPr>
          <w:rFonts w:ascii="Times New Roman;sans-serif" w:hAnsi="Times New Roman;sans-serif"/>
          <w:b w:val="false"/>
          <w:color w:val="231F20"/>
          <w:sz w:val="20"/>
        </w:rPr>
        <w:t xml:space="preserve">Corporate and Other segments invested in two notes receivable for renewable energy projects. Interest on the notes was fixed at 12%. During the </w:t>
      </w:r>
      <w:r>
        <w:rPr>
          <w:rFonts w:ascii="Times New Roman;sans-serif" w:hAnsi="Times New Roman;sans-serif"/>
          <w:b w:val="false"/>
          <w:color w:val="000000"/>
          <w:sz w:val="20"/>
        </w:rPr>
        <w:t>three months ended March 31, 2024</w:t>
      </w:r>
      <w:r>
        <w:rPr>
          <w:rFonts w:ascii="Times New Roman;sans-serif" w:hAnsi="Times New Roman;sans-serif"/>
          <w:b w:val="false"/>
          <w:color w:val="231F20"/>
          <w:sz w:val="20"/>
        </w:rPr>
        <w:t>, the Company received final principal repayments of $608,000 and $761,000 on the notes receivable in the Company's Excess and Surplus Lines segment and Corporate and Other segment, respectively.</w:t>
      </w:r>
    </w:p>
    <w:p>
      <w:pPr>
        <w:pStyle w:val="TextBody"/>
        <w:bidi w:val="0"/>
        <w:spacing w:lineRule="auto" w:line="276" w:before="0" w:after="120"/>
        <w:ind w:left="0" w:right="0" w:hanging="360"/>
        <w:jc w:val="both"/>
        <w:rPr/>
      </w:pPr>
      <w:r>
        <w:rPr>
          <w:rFonts w:ascii="Times New Roman;sans-serif" w:hAnsi="Times New Roman;sans-serif"/>
          <w:b w:val="false"/>
          <w:color w:val="231F20"/>
          <w:sz w:val="20"/>
        </w:rPr>
        <w:t>(c)</w:t>
      </w:r>
      <w:r>
        <w:rPr>
          <w:rFonts w:ascii="Times New Roman;sans-serif" w:hAnsi="Times New Roman;sans-serif"/>
          <w:b w:val="false"/>
          <w:color w:val="000000"/>
          <w:sz w:val="20"/>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Times New Roman;sans-serif" w:hAnsi="Times New Roman;sans-serif"/>
          <w:b w:val="false"/>
          <w:color w:val="231F20"/>
          <w:sz w:val="20"/>
        </w:rPr>
        <w:t>Income f</w:t>
      </w:r>
      <w:r>
        <w:rPr>
          <w:rFonts w:ascii="Times New Roman;sans-serif" w:hAnsi="Times New Roman;sans-serif"/>
          <w:b w:val="false"/>
          <w:color w:val="000000"/>
          <w:sz w:val="20"/>
        </w:rPr>
        <w:t>rom the partnerships is recognized under the equity method of accounting. At March 31, 2025, the Company’s Excess and Surplus Lines segment has outstanding commitments to invest another $5.0 million in the limited partnerships.</w:t>
      </w:r>
    </w:p>
    <w:p>
      <w:pPr>
        <w:pStyle w:val="TextBody"/>
        <w:bidi w:val="0"/>
        <w:spacing w:lineRule="auto" w:line="288" w:before="0" w:after="120"/>
        <w:ind w:left="0" w:right="0" w:hanging="360"/>
        <w:jc w:val="both"/>
        <w:rPr/>
      </w:pPr>
      <w:r>
        <w:rPr>
          <w:rFonts w:ascii="Times New Roman;sans-serif" w:hAnsi="Times New Roman;sans-serif"/>
          <w:b w:val="false"/>
          <w:color w:val="231F20"/>
          <w:sz w:val="20"/>
        </w:rPr>
        <w:t>(d)</w:t>
      </w:r>
      <w:r>
        <w:rPr>
          <w:rFonts w:ascii="Times New Roman;sans-serif" w:hAnsi="Times New Roman;sans-serif"/>
          <w:b w:val="false"/>
          <w:color w:val="000000"/>
          <w:sz w:val="20"/>
        </w:rPr>
        <w:t>The Company's Excess and Surplus Lines segment has invested in four notes receivable for structured private specialty credit. Interest on the notes, which mature in 2031, is fixed at 4.25% and 5.25%. Interest on the notes, which mature in 2035, is fixed at 6.50% and 8.00%. At March 31, 2025, the Company’s Excess and Surplus Lines segment has outstanding commitments to invest another $5.6 million in these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March 31, 2025 and December 31, 2024.</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for each major specifically identifiable intangible asset class were as follows: </w:t>
      </w:r>
    </w:p>
    <w:tbl>
      <w:tblPr>
        <w:tblW w:w="10205" w:type="dxa"/>
        <w:jc w:val="left"/>
        <w:tblInd w:w="0" w:type="dxa"/>
        <w:tblLayout w:type="fixed"/>
        <w:tblCellMar>
          <w:top w:w="28" w:type="dxa"/>
          <w:left w:w="28" w:type="dxa"/>
          <w:bottom w:w="28" w:type="dxa"/>
          <w:right w:w="28" w:type="dxa"/>
        </w:tblCellMar>
      </w:tblPr>
      <w:tblGrid>
        <w:gridCol w:w="1414"/>
        <w:gridCol w:w="1142"/>
        <w:gridCol w:w="1149"/>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9"/>
      </w:tblGrid>
      <w:tr>
        <w:trPr/>
        <w:tc>
          <w:tcPr>
            <w:tcW w:w="14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not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reconciliation of the numerator and denominator of the basic and diluted earnings per common share computations contained in the condensed consolidated financial statements:</w:t>
      </w:r>
    </w:p>
    <w:tbl>
      <w:tblPr>
        <w:tblW w:w="10061" w:type="dxa"/>
        <w:jc w:val="left"/>
        <w:tblInd w:w="0" w:type="dxa"/>
        <w:tblLayout w:type="fixed"/>
        <w:tblCellMar>
          <w:top w:w="28" w:type="dxa"/>
          <w:left w:w="28" w:type="dxa"/>
          <w:bottom w:w="28" w:type="dxa"/>
          <w:right w:w="28" w:type="dxa"/>
        </w:tblCellMar>
      </w:tblPr>
      <w:tblGrid>
        <w:gridCol w:w="2103"/>
        <w:gridCol w:w="1848"/>
        <w:gridCol w:w="1853"/>
        <w:gridCol w:w="109"/>
        <w:gridCol w:w="109"/>
        <w:gridCol w:w="139"/>
        <w:gridCol w:w="139"/>
        <w:gridCol w:w="369"/>
        <w:gridCol w:w="1263"/>
        <w:gridCol w:w="191"/>
        <w:gridCol w:w="149"/>
        <w:gridCol w:w="149"/>
        <w:gridCol w:w="149"/>
        <w:gridCol w:w="290"/>
        <w:gridCol w:w="990"/>
        <w:gridCol w:w="211"/>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938" w:type="dxa"/>
            <w:gridSpan w:val="6"/>
            <w:tcBorders/>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7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and per share amounts)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45,803,501 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37,733,710 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13,855,574 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6,905,259 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59,659,075 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44,638,969 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ans-serif" w:hAnsi="Times New Roman;sans-serif"/>
          <w:b w:val="false"/>
          <w:color w:val="231F20"/>
          <w:sz w:val="20"/>
        </w:rPr>
        <w:t xml:space="preserve">For the three months ended March 31, 2025 and 2024, all potential common shares were dilutive and included in the </w:t>
      </w:r>
      <w:r>
        <w:rPr>
          <w:rFonts w:ascii="Times New Roman;sans-serif" w:hAnsi="Times New Roman;sans-serif"/>
          <w:b w:val="false"/>
          <w:color w:val="000000"/>
          <w:sz w:val="20"/>
        </w:rPr>
        <w:t>calculation of diluted earnings per common share</w:t>
      </w:r>
      <w:r>
        <w:rPr>
          <w:rFonts w:ascii="Times New Roman;sans-serif" w:hAnsi="Times New Roman;sans-serif"/>
          <w:b w:val="false"/>
          <w:color w:val="231F20"/>
          <w:sz w:val="20"/>
        </w:rPr>
        <w:t>. The Company amended the Series A Preferred Shares on November 11, 2024, which, among other things, reduced the voluntary conversion price (see Note 13). The lower conversion price results in a higher number of potential common shares under an assumed conversion when the Series A Preferred Shares are determined to be dilutive in the earnings per share calculation. In applying the if-converted method in the calculation of diluted earnings per share from continuing operations when the Series A Preferred Shares are dilutive, the dividends on the Series A Preferred Shares are added back to income from continuing operations available to common shareholders in the numerator of the calculation and the additional common shares from an assumed conversion of the Series A Preferred Shares are added in the denominator of the 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6.    Reserve for Losses and Loss Adjustment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$1.5 million at March 31, 2025, $1.2 million at December 31, 2024, and $660,000 at March 31, 2024 and December 31, 2023.</w:t>
      </w:r>
    </w:p>
    <w:tbl>
      <w:tblPr>
        <w:tblW w:w="10205" w:type="dxa"/>
        <w:jc w:val="left"/>
        <w:tblInd w:w="0" w:type="dxa"/>
        <w:tblLayout w:type="fixed"/>
        <w:tblCellMar>
          <w:top w:w="28" w:type="dxa"/>
          <w:left w:w="28" w:type="dxa"/>
          <w:bottom w:w="28" w:type="dxa"/>
          <w:right w:w="28" w:type="dxa"/>
        </w:tblCellMar>
      </w:tblPr>
      <w:tblGrid>
        <w:gridCol w:w="2446"/>
        <w:gridCol w:w="2150"/>
        <w:gridCol w:w="2162"/>
        <w:gridCol w:w="109"/>
        <w:gridCol w:w="109"/>
        <w:gridCol w:w="112"/>
        <w:gridCol w:w="112"/>
        <w:gridCol w:w="217"/>
        <w:gridCol w:w="1006"/>
        <w:gridCol w:w="112"/>
        <w:gridCol w:w="109"/>
        <w:gridCol w:w="109"/>
        <w:gridCol w:w="109"/>
        <w:gridCol w:w="211"/>
        <w:gridCol w:w="976"/>
        <w:gridCol w:w="156"/>
      </w:tblGrid>
      <w:tr>
        <w:trPr/>
        <w:tc>
          <w:tcPr>
            <w:tcW w:w="244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Incurred losses and loss adjustment expenses net of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 losses and loss and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and loss adjustment expense payments net of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Change in deferred reinsurance gain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1,095,761 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 on unpaid losses and loss adjustment expenses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gross of reinsurance recoverables on unpaid losses and loss adjustment expenses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3,081,540 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2,661,909 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$131,000 of net favorable reserve development in the three months ended March 31, 2025 on the reserve for losses and loss adjustment expenses held at December 31, 2024 (excluding adverse prior year development subject to retroactive reinsurance accounting - see </w:t>
      </w:r>
      <w:r>
        <w:rPr>
          <w:rFonts w:ascii="Times New Roman;sans-serif" w:hAnsi="Times New Roman;sans-serif"/>
          <w:b w:val="false"/>
          <w:i/>
          <w:color w:val="000000"/>
          <w:sz w:val="20"/>
        </w:rPr>
        <w:t xml:space="preserve">Loss Portfolio Transfers and Adverse Development Covers </w:t>
      </w:r>
      <w:r>
        <w:rPr>
          <w:rFonts w:ascii="Times New Roman;sans-serif" w:hAnsi="Times New Roman;sans-serif"/>
          <w:b w:val="false"/>
          <w:color w:val="000000"/>
          <w:sz w:val="20"/>
        </w:rPr>
        <w:t>below). This reserve development included $10,000 of net favorable development in the Excess and Surplus Lines segment and $121,000 of net favorable development in the Specialty Admitted Insurance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$398,000 of net favorable reserve development in the three months ended March 31, 2024 on the reserve for losses and loss adjustment expenses held at December 31, 2023 (excluding adverse prior year development subject to retroactive reinsurance accounting - see </w:t>
      </w:r>
      <w:r>
        <w:rPr>
          <w:rFonts w:ascii="Times New Roman;sans-serif" w:hAnsi="Times New Roman;sans-serif"/>
          <w:b w:val="false"/>
          <w:i/>
          <w:color w:val="000000"/>
          <w:sz w:val="20"/>
        </w:rPr>
        <w:t xml:space="preserve">Loss Portfolio Transfers and Adverse Development Covers </w:t>
      </w:r>
      <w:r>
        <w:rPr>
          <w:rFonts w:ascii="Times New Roman;sans-serif" w:hAnsi="Times New Roman;sans-serif"/>
          <w:b w:val="false"/>
          <w:color w:val="000000"/>
          <w:sz w:val="20"/>
        </w:rPr>
        <w:t>below). This reserve development included $40,000 of net adverse development in the Excess and Surplus Lines segment and $438,000 of net favorable development in the Specialty Admitted Insurance segment.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 and Adverse Development Covers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Auto Loss Portfolio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otherwise indemnified by Rasier. The reinsurance coverage is structured to be fully collateralized, is not subject to an aggregate limit, and is subject to certain exclusions. The cumulative amounts ceded under the loss portfolio transfer were $459.4 million and $459.3 million as of March 31, 2025 and December 31, 2024, respectively.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The Company has $41.2 million of aggregate limit remaining on the E&amp;S ADC at March 31, 2025.</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Adverse Development Cover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2024, Enstar Group Limited ("Enstar"), through its subsidiary Cavello Bay Reinsurance Limited,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The Company has $75.0 million of aggregate limit remaining on the E&amp;S Top Up ADC at March 31, 2025.</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our results in the short-term, over the life of the contract, we would expect no economic impact to the Company as long as the counterparty performs under the contract. The impact of retroactive reinsurance accounting is not indicative of our current and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retroactive reinsurance accounting for the Commercial Auto LPT and the E&amp;S ADC for the three months ended March 31, 2025 and 2024, respectively.</w:t>
      </w:r>
    </w:p>
    <w:tbl>
      <w:tblPr>
        <w:tblW w:w="7419" w:type="dxa"/>
        <w:jc w:val="left"/>
        <w:tblInd w:w="0" w:type="dxa"/>
        <w:tblLayout w:type="fixed"/>
        <w:tblCellMar>
          <w:top w:w="28" w:type="dxa"/>
          <w:left w:w="28" w:type="dxa"/>
          <w:bottom w:w="28" w:type="dxa"/>
          <w:right w:w="28" w:type="dxa"/>
        </w:tblCellMar>
      </w:tblPr>
      <w:tblGrid>
        <w:gridCol w:w="1797"/>
        <w:gridCol w:w="1580"/>
        <w:gridCol w:w="1588"/>
        <w:gridCol w:w="211"/>
        <w:gridCol w:w="721"/>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Commercial Auto LPT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E&amp;S ADC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7.    Other Comprehensive Income (Loss)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other comprehensive income (loss):</w:t>
      </w:r>
    </w:p>
    <w:tbl>
      <w:tblPr>
        <w:tblW w:w="9581" w:type="dxa"/>
        <w:jc w:val="left"/>
        <w:tblInd w:w="0" w:type="dxa"/>
        <w:tblLayout w:type="fixed"/>
        <w:tblCellMar>
          <w:top w:w="28" w:type="dxa"/>
          <w:left w:w="28" w:type="dxa"/>
          <w:bottom w:w="28" w:type="dxa"/>
          <w:right w:w="28" w:type="dxa"/>
        </w:tblCellMar>
      </w:tblPr>
      <w:tblGrid>
        <w:gridCol w:w="2269"/>
        <w:gridCol w:w="1994"/>
        <w:gridCol w:w="2007"/>
        <w:gridCol w:w="109"/>
        <w:gridCol w:w="109"/>
        <w:gridCol w:w="139"/>
        <w:gridCol w:w="139"/>
        <w:gridCol w:w="269"/>
        <w:gridCol w:w="919"/>
        <w:gridCol w:w="139"/>
        <w:gridCol w:w="109"/>
        <w:gridCol w:w="109"/>
        <w:gridCol w:w="109"/>
        <w:gridCol w:w="211"/>
        <w:gridCol w:w="796"/>
        <w:gridCol w:w="154"/>
      </w:tblGrid>
      <w:tr>
        <w:trPr/>
        <w:tc>
          <w:tcPr>
            <w:tcW w:w="226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before 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net of 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investment losses realized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14,322 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In addition to the $25,000 of net realized investment gains and $311,000 of net realized investment losses on available-for-sale fixed maturities for the three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March 31, 2025 and 2024, respectively</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the Company also recognized net realized and unrealized investment losses in the respective periods of $2.3 million and $281,000 on its investments in bank loan participations and net realized and unrealized investment gains of $918,000 and $5.2 million on its investments in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Contingent Liabilities</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2024, the Company filed a complaint in the Supreme Court of the State of New York, New York County, Commercial Division against Fleming Intermediate Holdings LLC (“Fleming”), a Cayman Islands limited liability company, relating to the Stock Purchase Agreement, dated as of November 8, 2023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 on the motion to dismiss.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2024, Fleming filed a lawsuit in the U.S. District Court, Southern District of New York against James River Group Holdings, Ltd.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 second amended complaint. On November 15, 2024, the Company filed a motion to dismiss the second amended complaint, on December 23, 2024 Fleming filed an opposition to the motion to dismiss, and on January 17, 2025 the Company filed its reply to Fleming's opposition. The Company believes that it has substantial defenses and intends to vigorously defend this lawsuit.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Amounts Recoverable from Reinsurers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March 31, 2025, the allowance for credit losses on reinsurance recoverables was $1.5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equal to 102% of James River's estimate of the respective party's obligations in trusts pursuant to the terms of the Indemnity Agreements and the Commercial Auto LPT, respectively. At March 31, 2025, the total balance of collateral securing Rasier's obligations under the Indemnity Agreements was $66.1 million and Aleka's obligations under the Commercial Auto LPT was $30.6 million. At March 31, 2025, the total reinsurance recoverables under the Commercial Auto LPT was $29.2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March 31, 2025, the balance in the Loss Fund Trust was $29.0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Segment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continuing operations are comprised of three reportable segments, two of which are separately managed business units and the third (“Corporate and Other”) includes the Company’s remaining operations. The Excess and Surplus Lines segment primarily offers commercial excess and surplus lines liability and excess property insurance products. The Specialty Admitted Insurance segment offers specialty admitted fronting and program business and, prior to the sale of the Company's renewal rights in 2023, workers’ compensation insurance coverage. The Corporate and Other segment consists of certain management and treasury activities of James River Group, James River UK, and JRG Holdings as well as interest expense associated with senior debt and Junior Subordinated Debt, and investment income. The accounting policies of the reportable segments are the same as those described in the summary of significant accounting policies.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 xml:space="preserve">Segment profit (loss) is measured by underwriting profit (loss), which is generally defined as net earned premiums and gross fee income (in specific instances when the Company is not retaining insurance risk) in “other income” in the Condensed Consolidated Statements of Income and Comprehensive Income less loss and loss adjustment expenses on business not subject to retroactive reinsurance accounting (see </w:t>
      </w:r>
      <w:r>
        <w:rPr>
          <w:rFonts w:ascii="Times New Roman;sans-serif" w:hAnsi="Times New Roman;sans-serif"/>
          <w:b w:val="false"/>
          <w:i/>
          <w:color w:val="000000"/>
          <w:sz w:val="20"/>
        </w:rPr>
        <w:t xml:space="preserve">Retroactive Reinsurance Accounting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Note 6 - Reserve for Losses and Loss Adjustment Expenses</w:t>
      </w:r>
      <w:r>
        <w:rPr>
          <w:rFonts w:ascii="Times New Roman;sans-serif" w:hAnsi="Times New Roman;sans-serif"/>
          <w:b w:val="false"/>
          <w:color w:val="000000"/>
          <w:sz w:val="20"/>
        </w:rPr>
        <w:t xml:space="preserve">) and other operating expenses. Other operating expenses include the underwriting, acquisition, and insurance expenses of the operating segments and, for consolidated underwriting profit, the expenses of the Corporate and Other segment. Other operating expenses for the Corporate and Other segment include personnel costs associated with the Bermuda and U.S. holding companies, professional fees, long-term incentive compensation (including share-based compensation) for the full Company, public company and various other corporate expenses. Net commissions in the table below are net of amounts deferred as deferred policy acquisition costs. Employee compensation includes both cash and share-based compensation, as well as employer expenses related to payroll taxes and benefits, and is net of amounts allocated to losses and loss adjustment expenses and amounts deferred. All other operating expenses include, amongst other expenses, costs for insurance, outside professional fees including legal, audit, and consulting, office rent, bad debt expense, and taxes, licenses and fees on business written. Segment results are reported prior to the effects of intercompany pooling agreements and intercompany reinsurance agreements. All gross written premiums and net earned premiums for all periods presented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generated from policies issued to U.S. based insureds. Segment revenues for each reportable segment consist of net earned premiums, net investment income, and realized and unrealized (losses) gains on investments.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Executive Officer ("CEO") has final authority over segment resource allocation decisions and performance assessment, and consequently, is identified as the Chief Operating Decision Maker ("CODM"). The CEO considers segment underwriting profit (loss) in the annual budget and forecasting process, and in monthly financial reviews of actual segment results compared to budget and prior year periods in order to assess segment performance and make strategic operating decisions regarding the business written by the segments, the allocation of capital and personnel to the segments, and compensation for segment employees. The segment information presented below aligns with the information that is presented regularly to the CEO.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segment results:</w:t>
      </w:r>
    </w:p>
    <w:tbl>
      <w:tblPr>
        <w:tblW w:w="10205" w:type="dxa"/>
        <w:jc w:val="left"/>
        <w:tblInd w:w="0" w:type="dxa"/>
        <w:tblLayout w:type="fixed"/>
        <w:tblCellMar>
          <w:top w:w="28" w:type="dxa"/>
          <w:left w:w="28" w:type="dxa"/>
          <w:bottom w:w="28" w:type="dxa"/>
          <w:right w:w="28" w:type="dxa"/>
        </w:tblCellMar>
      </w:tblPr>
      <w:tblGrid>
        <w:gridCol w:w="1713"/>
        <w:gridCol w:w="1369"/>
        <w:gridCol w:w="1374"/>
        <w:gridCol w:w="211"/>
        <w:gridCol w:w="826"/>
        <w:gridCol w:w="109"/>
        <w:gridCol w:w="109"/>
        <w:gridCol w:w="109"/>
        <w:gridCol w:w="109"/>
        <w:gridCol w:w="211"/>
        <w:gridCol w:w="826"/>
        <w:gridCol w:w="109"/>
        <w:gridCol w:w="109"/>
        <w:gridCol w:w="109"/>
        <w:gridCol w:w="109"/>
        <w:gridCol w:w="109"/>
        <w:gridCol w:w="109"/>
        <w:gridCol w:w="266"/>
        <w:gridCol w:w="512"/>
        <w:gridCol w:w="131"/>
        <w:gridCol w:w="109"/>
        <w:gridCol w:w="109"/>
        <w:gridCol w:w="109"/>
        <w:gridCol w:w="211"/>
        <w:gridCol w:w="826"/>
        <w:gridCol w:w="312"/>
      </w:tblGrid>
      <w:tr>
        <w:trPr/>
        <w:tc>
          <w:tcPr>
            <w:tcW w:w="171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3"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676" w:type="dxa"/>
            <w:gridSpan w:val="6"/>
            <w:tcBorders/>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and for the Three Months Ended March 31,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294,361 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losses and loss adjustment expense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27,660 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172,289 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4,949,015 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and for the Three Months Ended March 31, 2024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losses and loss adjustment expense -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201,127 </w:t>
            </w:r>
          </w:p>
        </w:tc>
        <w:tc>
          <w:tcPr>
            <w:tcW w:w="3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4,518,749 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the operating segments by individual segment to consolidated income from continuing operations before income taxes:</w:t>
      </w:r>
    </w:p>
    <w:tbl>
      <w:tblPr>
        <w:tblW w:w="8365" w:type="dxa"/>
        <w:jc w:val="left"/>
        <w:tblInd w:w="0" w:type="dxa"/>
        <w:tblLayout w:type="fixed"/>
        <w:tblCellMar>
          <w:top w:w="28" w:type="dxa"/>
          <w:left w:w="28" w:type="dxa"/>
          <w:bottom w:w="28" w:type="dxa"/>
          <w:right w:w="28" w:type="dxa"/>
        </w:tblCellMar>
      </w:tblPr>
      <w:tblGrid>
        <w:gridCol w:w="1858"/>
        <w:gridCol w:w="1631"/>
        <w:gridCol w:w="1640"/>
        <w:gridCol w:w="109"/>
        <w:gridCol w:w="109"/>
        <w:gridCol w:w="139"/>
        <w:gridCol w:w="139"/>
        <w:gridCol w:w="269"/>
        <w:gridCol w:w="919"/>
        <w:gridCol w:w="139"/>
        <w:gridCol w:w="109"/>
        <w:gridCol w:w="109"/>
        <w:gridCol w:w="109"/>
        <w:gridCol w:w="211"/>
        <w:gridCol w:w="721"/>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(losses)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10.    Other Operating Expenses and Other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consist of the following:</w:t>
      </w:r>
    </w:p>
    <w:tbl>
      <w:tblPr>
        <w:tblW w:w="8336" w:type="dxa"/>
        <w:jc w:val="left"/>
        <w:tblInd w:w="0" w:type="dxa"/>
        <w:tblLayout w:type="fixed"/>
        <w:tblCellMar>
          <w:top w:w="28" w:type="dxa"/>
          <w:left w:w="28" w:type="dxa"/>
          <w:bottom w:w="28" w:type="dxa"/>
          <w:right w:w="28" w:type="dxa"/>
        </w:tblCellMar>
      </w:tblPr>
      <w:tblGrid>
        <w:gridCol w:w="1847"/>
        <w:gridCol w:w="1622"/>
        <w:gridCol w:w="1631"/>
        <w:gridCol w:w="109"/>
        <w:gridCol w:w="109"/>
        <w:gridCol w:w="139"/>
        <w:gridCol w:w="139"/>
        <w:gridCol w:w="269"/>
        <w:gridCol w:w="919"/>
        <w:gridCol w:w="139"/>
        <w:gridCol w:w="109"/>
        <w:gridCol w:w="109"/>
        <w:gridCol w:w="109"/>
        <w:gridCol w:w="211"/>
        <w:gridCol w:w="721"/>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expenses of $563,000 and $732,000 for the three</w:t>
      </w:r>
      <w:r>
        <w:rPr>
          <w:color w:val="231F20"/>
        </w:rPr>
        <w:t xml:space="preserve"> </w:t>
      </w:r>
      <w:r>
        <w:rPr>
          <w:rFonts w:ascii="Times New Roman;sans-serif" w:hAnsi="Times New Roman;sans-serif"/>
          <w:b w:val="false"/>
          <w:color w:val="231F20"/>
          <w:sz w:val="20"/>
        </w:rPr>
        <w:t>months ended March 31, 2025 and 2024</w:t>
      </w:r>
      <w:r>
        <w:rPr>
          <w:rFonts w:ascii="Times New Roman;sans-serif" w:hAnsi="Times New Roman;sans-serif"/>
          <w:b w:val="false"/>
          <w:color w:val="000000"/>
          <w:sz w:val="20"/>
        </w:rPr>
        <w:t>, respectively, primarily consist of certain nonoperating expenses including legal and other professional fees and other expenses related to various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11.    Senior Debt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On January 27, 2025, the Company borrowed $25.0 million on the unsecured revolver of the Company’s $257.5 million senior revolving credit facility (as amended or amended and restated, the “2013 Facility”). The proceeds were contributed to our regulated insurance entities. At </w:t>
      </w:r>
      <w:r>
        <w:rPr>
          <w:rFonts w:ascii="Times New Roman;sans-serif" w:hAnsi="Times New Roman;sans-serif"/>
          <w:b w:val="false"/>
          <w:color w:val="231F20"/>
          <w:sz w:val="20"/>
        </w:rPr>
        <w:t xml:space="preserve">March 31, 2025, the 2013 Facility </w:t>
      </w:r>
      <w:r>
        <w:rPr>
          <w:rFonts w:ascii="Times New Roman;sans-serif" w:hAnsi="Times New Roman;sans-serif"/>
          <w:b w:val="false"/>
          <w:color w:val="000000"/>
          <w:sz w:val="20"/>
        </w:rPr>
        <w:t>is comprised of the following:</w:t>
      </w:r>
    </w:p>
    <w:p>
      <w:pPr>
        <w:pStyle w:val="TextBody"/>
        <w:bidi w:val="0"/>
        <w:spacing w:lineRule="auto" w:line="288" w:before="0" w:after="120"/>
        <w:ind w:left="0" w:right="0" w:hanging="360"/>
        <w:jc w:val="both"/>
        <w:rPr/>
      </w:pPr>
      <w:r>
        <w:rPr>
          <w:color w:val="000000"/>
        </w:rPr>
        <w:t>•    </w:t>
      </w:r>
      <w:r>
        <w:rPr>
          <w:rFonts w:ascii="Times New Roman;sans-serif" w:hAnsi="Times New Roman;sans-serif"/>
          <w:b w:val="false"/>
          <w:color w:val="000000"/>
          <w:sz w:val="20"/>
        </w:rPr>
        <w:t xml:space="preserve">A $212.5 million unsecured revolving facility to meet the working capital needs of the Company. At </w:t>
      </w:r>
      <w:r>
        <w:rPr>
          <w:rFonts w:ascii="Times New Roman;sans-serif" w:hAnsi="Times New Roman;sans-serif"/>
          <w:b w:val="false"/>
          <w:color w:val="231F20"/>
          <w:sz w:val="20"/>
        </w:rPr>
        <w:t>March 31, 2025</w:t>
      </w:r>
      <w:r>
        <w:rPr>
          <w:rFonts w:ascii="Times New Roman;sans-serif" w:hAnsi="Times New Roman;sans-serif"/>
          <w:b w:val="false"/>
          <w:color w:val="000000"/>
          <w:sz w:val="20"/>
        </w:rPr>
        <w:t>, the Company had a drawn balance of $210.8 million outstanding on the unsecured revolver.</w:t>
      </w:r>
    </w:p>
    <w:p>
      <w:pPr>
        <w:pStyle w:val="TextBody"/>
        <w:bidi w:val="0"/>
        <w:spacing w:lineRule="auto" w:line="288" w:before="0" w:after="120"/>
        <w:ind w:left="0" w:right="0" w:hanging="360"/>
        <w:jc w:val="both"/>
        <w:rPr/>
      </w:pPr>
      <w:r>
        <w:rPr>
          <w:color w:val="000000"/>
        </w:rPr>
        <w:t>•    </w:t>
      </w:r>
      <w:r>
        <w:rPr>
          <w:rFonts w:ascii="Times New Roman;sans-serif" w:hAnsi="Times New Roman;sans-serif"/>
          <w:b w:val="false"/>
          <w:color w:val="000000"/>
          <w:sz w:val="20"/>
        </w:rPr>
        <w:t xml:space="preserve">A $45.0 million secured revolving facility to issue letters of credit for the benefit of third-party reinsureds. At </w:t>
      </w:r>
      <w:r>
        <w:rPr>
          <w:rFonts w:ascii="Times New Roman;sans-serif" w:hAnsi="Times New Roman;sans-serif"/>
          <w:b w:val="false"/>
          <w:color w:val="231F20"/>
          <w:sz w:val="20"/>
        </w:rPr>
        <w:t>March 31, 2025</w:t>
      </w:r>
      <w:r>
        <w:rPr>
          <w:rFonts w:ascii="Times New Roman;sans-serif" w:hAnsi="Times New Roman;sans-serif"/>
          <w:b w:val="false"/>
          <w:color w:val="000000"/>
          <w:sz w:val="20"/>
        </w:rPr>
        <w:t>, the Company had $1.3 million of letters of credit issued under the secured facility, all of which are collateralized by a back-to-back letter of credit issued by Comerica Bank on behalf of JRG Re.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2013 Facility contains certain financial and other covenants (including minimum net worth, maximum ratio of total adjusted debt outstanding to total capitalization, and financial strength ratings) with which the Company was in compliance at </w:t>
      </w:r>
      <w:r>
        <w:rPr>
          <w:rFonts w:ascii="Times New Roman;sans-serif" w:hAnsi="Times New Roman;sans-serif"/>
          <w:b w:val="false"/>
          <w:color w:val="231F20"/>
          <w:sz w:val="20"/>
        </w:rPr>
        <w:t>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March 31, 2025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2024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97,074 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tbl>
      <w:tblPr>
        <w:tblW w:w="6429" w:type="dxa"/>
        <w:jc w:val="center"/>
        <w:tblInd w:w="0" w:type="dxa"/>
        <w:tblLayout w:type="fixed"/>
        <w:tblCellMar>
          <w:top w:w="28" w:type="dxa"/>
          <w:left w:w="28" w:type="dxa"/>
          <w:bottom w:w="28" w:type="dxa"/>
          <w:right w:w="28" w:type="dxa"/>
        </w:tblCellMar>
      </w:tblPr>
      <w:tblGrid>
        <w:gridCol w:w="1289"/>
        <w:gridCol w:w="1130"/>
        <w:gridCol w:w="1136"/>
        <w:gridCol w:w="109"/>
        <w:gridCol w:w="109"/>
        <w:gridCol w:w="220"/>
        <w:gridCol w:w="220"/>
        <w:gridCol w:w="426"/>
        <w:gridCol w:w="517"/>
        <w:gridCol w:w="220"/>
        <w:gridCol w:w="109"/>
        <w:gridCol w:w="109"/>
        <w:gridCol w:w="109"/>
        <w:gridCol w:w="211"/>
        <w:gridCol w:w="361"/>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53"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 to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calls and paydowns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gains or losses (realized/unrealized):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held one equity security at December 31, 2024 and March 31, 2025 for which the fair value was determined using significant unobservable inputs (Level 3). The fair value of $2,000 at March 31, 2025 for the equity security was obtained from our asset manager and was derived from an internal model.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one equity security at December 31, 2023 and March 31, 2024 for which the fair value was determined using significant unobservable inputs (Level 3). The fair value of $17,000 at March 31, 2024 for the equity security was obtained from our asset manager and was derived from an internal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during the three months ended March 31, 2025 or 2024. The Company recognizes transfers between levels at the beginning of the reporting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2025 and December 31, 2024, there were no investments for which external sources were unavailable to determine fair value.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and fair values of financial instruments are summarized below:</w:t>
      </w:r>
    </w:p>
    <w:tbl>
      <w:tblPr>
        <w:tblW w:w="9840" w:type="dxa"/>
        <w:jc w:val="left"/>
        <w:tblInd w:w="0" w:type="dxa"/>
        <w:tblLayout w:type="fixed"/>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other invested assets-notes receivable, senior debt, and junior subordinated debt at March 31, 2025 and December 31, 2024 were determined by calculating the present value of expected future cash flows under the terms of the note agreements or debt agreements, as applicable, discounted at an estimated market rate of interest at March 31, 2025 and December 31, 2024, respectively. The Company also utilized an internally developed valuation model based on the spread of a comparable market index to determine the fair value of certain other invested assets-notes receivable at March 31, 2025 and December 31,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senior debt, junior subordinated debt, and investments in notes receivable, classified in other invested assets, at March 31, 2025 and December 31, 2024 were determined using inputs to the valuation methodology that are unobservable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13.    Series A Preferred Shares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Initial Issuance and Terms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the Company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the Company’s election. Prior to the amendment on November 11, 2024 (as discussed below), on the five-year anniversary of the Series A Closing Date, and each five-year anniversary thereafter, the dividend rate would reset to a rate equal to the five-year U.S. treasury rate plus 5.2%. Dividends accrue and are payable quarterly. Cash dividends of $2.6 million for the fourth quarter of 2023 and $2.6 million for the first quarter of 2024 were paid on January 2, 2024 and April 1, 2024,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 specified levels, as well as certain adjustments in case of net adverse reserve developments in excess of a threshold over a period of time. The measurement period for the adverse reserve development anti-dilution adjustment commenced with the quarter beginning January 1, 2022 and ends with the quarter ending December 31, 2025. Prior to the amendment on November 11, 2024 (disclosed below), net adverse reserve development exceeded the threshold. If net adverse reserve development exceeded the threshold at the conclusion of the measurement period (or upon a mandatory or optional conversion, if earlier), the conversion price would have been adjusted pursuant to the Certificate of Designations, subject to a floor conversion price of $21.902, and the adjusted conversion price would become effective after the filing of the Company's financial statements for the period ending December 31, 2025 (or immediately after the close of business on the date of the public filing of the Company's financial statements for the most recent quarterly period preceding a mandatory or optional conversion, if earlier). None of the other triggers that would result in additional adjustments to the conversion price had been met prior to the amendment on November 11,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setting forth the terms of the Series A Preferred Shares (the “Certificate of Designations”)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satisfy certain capital requirements. Share dividends payable on the common shares to the Company's shareholders also trigger a reduction of the conversion price applicable to the Series A Preferred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on or after the two year anniversary of the Series A Closing Date, if the volume-weighted average price (“VWAP”) per common share is greater than 130% of the then-applicable conversion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paid. The repurchase price will be payable in cash.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may be required to repurchase all or a portion of the Series A Preferred Shares at the option of the holder upon the occurrence of certain change of control events, the Series A Preferred Shares were classified as mezzanine equity in the Company's condensed consolidated balance sheets and recognized at their fair value of $150.0 million (the proceeds on the date of issuance) less issuance costs of $5.1 million, resulting in an initial carrying value of $144.9 million prior to the amendment on November 11,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Investment Agreement, GPC Partners has the right to designate one member of the Board (the “Series A Designee”). GPC Partners initially designated Matthew Botein as the Series A Designee, and Mr. Botein was approved by the Board as a Class I director with a term that expired at the 2024 annual general meeting of the Company’s shareholders. Mr. Botein was re-elected as a director at the 2024 annual general meeting for a term ending at the 2025 annual general meeting.</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2024 Amendment and Revised Terms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2024, the Company amended the Certificate of Designations held by GPC Partners to, among other things, (i) convert $37.5 million of the outstanding Series A Preferred Shares to common stock at a per share price of $6.40 (the “Minimum Price”), (ii) increase the voluntary conversion price from 127.5% to 130% of the Minimum Price, (iii) increase the mandatory conversion price from 130% to 200% of the voluntary conversion price, (iv) delay the first date on which the dividend rate re-sets from March 1, 2027 to October 1, 2029, (v) cap the dividend rate at 8%, (vi) eliminate the adverse development anti-dilution adjustment provision, and (vii) limit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amendment as an extinguishment of the pre-amendment Series A Preferred Shares due to the significance of quantitative and qualitative changes to the shares. The Company estimated the fair value of the new Series A Preferred Shares to be $133.1 million on the date of issuance and classified the new Series A Preferred Shares as mezzanine equity. The redemption feature, which could require the Company to repurchase all or a portion of the Series A Preferred Shares at the option of the holder upon the occurrence of certain change of control events, was not impacted by the amendment. In the fourth quarter of 2024, the Company recorded a deemed dividend of $25.7 million within retained deficit for the difference between the $144.9 million carrying value of the extinguished pre-amendment Series A preferred shares and the combined $133.1 million estimated fair value of the new Series A Preferred Shares and $37.5 million of new common shares issued through conversion of Series A Preferred Shares in the amendment.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new Series A Preferred Shares were valued at the time of the amendment using a lattice method commonly applied to value preferred shares. The new Series A Preferred Shares are classified as level 3 in the valuation hierarchy due to the presence of significant unobservable inputs.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price continues to be subject to customary anti-dilution adjustments following the amendment, including cash dividends on the common shares above specified levels. None of the triggers that would result in additional adjustments to the conversion price have been met at March 31, 2025.</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dividends of $2.0 million were paid on the Series A Preferred Shares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14.    Capital Stock and Equity Awards</w:t>
      </w:r>
    </w:p>
    <w:p>
      <w:pPr>
        <w:pStyle w:val="TextBody"/>
        <w:bidi w:val="0"/>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Common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45,644,318 at December 31, 2024 to 45,892,706 at March 31, 2025, reflecting 248,388 common shares issued in the three months ended March 31, 2025 related to vesting of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the following dividends on common shares during the first three months of 2025 and 2024:</w:t>
      </w:r>
    </w:p>
    <w:tbl>
      <w:tblPr>
        <w:tblW w:w="10205" w:type="dxa"/>
        <w:jc w:val="left"/>
        <w:tblInd w:w="0" w:type="dxa"/>
        <w:tblLayout w:type="fixed"/>
        <w:tblCellMar>
          <w:top w:w="28" w:type="dxa"/>
          <w:left w:w="28" w:type="dxa"/>
          <w:bottom w:w="28" w:type="dxa"/>
          <w:right w:w="28" w:type="dxa"/>
        </w:tblCellMar>
      </w:tblPr>
      <w:tblGrid>
        <w:gridCol w:w="554"/>
        <w:gridCol w:w="487"/>
        <w:gridCol w:w="490"/>
        <w:gridCol w:w="109"/>
        <w:gridCol w:w="109"/>
        <w:gridCol w:w="109"/>
        <w:gridCol w:w="530"/>
        <w:gridCol w:w="1283"/>
        <w:gridCol w:w="273"/>
        <w:gridCol w:w="109"/>
        <w:gridCol w:w="109"/>
        <w:gridCol w:w="109"/>
        <w:gridCol w:w="884"/>
        <w:gridCol w:w="884"/>
        <w:gridCol w:w="887"/>
        <w:gridCol w:w="109"/>
        <w:gridCol w:w="109"/>
        <w:gridCol w:w="109"/>
        <w:gridCol w:w="426"/>
        <w:gridCol w:w="426"/>
        <w:gridCol w:w="428"/>
        <w:gridCol w:w="109"/>
        <w:gridCol w:w="109"/>
        <w:gridCol w:w="109"/>
        <w:gridCol w:w="211"/>
        <w:gridCol w:w="976"/>
        <w:gridCol w:w="158"/>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Date of Declaration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Payable to Shareholders of Record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total dividends for the three months ended March 31, 2025 and 2024 are $18,000 and $49,000, respectively, of dividend equivalents on unvested RSUs. The balance of dividends payable on unvested RSUs was $129,000 at March 31, 2025 and $252,000 at December 31, 2024.</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are eligible to receive non-qualified stock options, incentive stock options, share appreciation rights, performance shares, restricted shares, RSUs, and other awards under the 2014 LTIP. At March 31, 2025, the maximum number of shares available for issuance under the 2014 LTIP was 5,507,650 and 476,100 shares were available for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PRSUs awarded in the first quarter of 2023 have a performance period of January 1, 2023 through December 31, 2025. The PRSUs awarded in the first quarter of 2024 have a performance period of January 1, 2024 through December 31, 2026. The PRSUs awarded in the first quarter of 2025 have a performance period of January 1, 2025 through December 31, 2027.</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 of the Company are eligible to receive non-qualified stock options, share appreciation rights, performance shares, restricted shares, RSUs, and other awards under the 2014 Director Plan. At March 31, 2025, the maximum number of shares available for issuance under the 2014 Director Plan was 250,000 and 50,410 shares were available for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78" w:type="dxa"/>
        <w:jc w:val="left"/>
        <w:tblInd w:w="0" w:type="dxa"/>
        <w:tblLayout w:type="fixed"/>
        <w:tblCellMar>
          <w:top w:w="28" w:type="dxa"/>
          <w:left w:w="28" w:type="dxa"/>
          <w:bottom w:w="28" w:type="dxa"/>
          <w:right w:w="28" w:type="dxa"/>
        </w:tblCellMar>
      </w:tblPr>
      <w:tblGrid>
        <w:gridCol w:w="939"/>
        <w:gridCol w:w="825"/>
        <w:gridCol w:w="830"/>
        <w:gridCol w:w="488"/>
        <w:gridCol w:w="488"/>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(264,088)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1,848,507 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985,864 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 year vesting period in the case of time-vest RSUs and cliff vest at the end of a three-year performance period in the case of PRSUs. RSUs granted to non-employee directors generally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generally based on the market price of the underlying shares at the date of grant. The RSUs granted in 2025 and 2024 include 620,108 and 231,492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pStyle w:val="TextBody"/>
        <w:bidi w:val="0"/>
        <w:spacing w:lineRule="auto" w:line="288" w:before="80" w:after="120"/>
        <w:jc w:val="both"/>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Company had 74,390 options outstanding with an average weighted exercise price of $42.17. The options lapsed in the three months ended March 31, 2024, after which, there have been no options outstanding.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 is recognized on a straight-line basis over the vesting period. The amount of expense and related tax benefit is summarized below:</w:t>
      </w:r>
    </w:p>
    <w:tbl>
      <w:tblPr>
        <w:tblW w:w="7613" w:type="dxa"/>
        <w:jc w:val="left"/>
        <w:tblInd w:w="0" w:type="dxa"/>
        <w:tblLayout w:type="fixed"/>
        <w:tblCellMar>
          <w:top w:w="28" w:type="dxa"/>
          <w:left w:w="28" w:type="dxa"/>
          <w:bottom w:w="28" w:type="dxa"/>
          <w:right w:w="28" w:type="dxa"/>
        </w:tblCellMar>
      </w:tblPr>
      <w:tblGrid>
        <w:gridCol w:w="1625"/>
        <w:gridCol w:w="1426"/>
        <w:gridCol w:w="1433"/>
        <w:gridCol w:w="109"/>
        <w:gridCol w:w="109"/>
        <w:gridCol w:w="151"/>
        <w:gridCol w:w="151"/>
        <w:gridCol w:w="293"/>
        <w:gridCol w:w="857"/>
        <w:gridCol w:w="151"/>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benefit on share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$8.5 million of unrecognized share based compensation expense expected to be charged to earnings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11, 2025, the Company entered into an investment agreement with Sixth Street, of which Enstar is expected to become an affiliate following the close of the previously announced acquisition of Enstar by Sixth Street. Pursuant to the agreement, the Company's Excess and Surplus Lines segment will invest $75.0 million primarily in collateralized investment grade notes receivable for structured private specialty credit.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On April 18, 2025, the independent accounting firm appointed by the Company and Fleming to resolve the $54.1 million in aggregate downward adjustments to the cash portion of the Closing Date Purchase Price claimed by Fleming and disputed by the Company made its final determination, which resulted in a downward adjustment to the Closing Date Purchase Price of $483,625.</w:t>
      </w:r>
      <w:r>
        <w:rPr>
          <w:color w:val="000000"/>
        </w:rPr>
        <w:t xml:space="preserve"> </w:t>
      </w:r>
      <w:r>
        <w:rPr>
          <w:rFonts w:ascii="Times New Roman;sans-serif" w:hAnsi="Times New Roman;sans-serif"/>
          <w:b w:val="false"/>
          <w:color w:val="000000"/>
          <w:sz w:val="20"/>
        </w:rPr>
        <w:t>See Note 2 for additional disclosure. On April 29, 2025, the Company paid $522,789 to Fleming comprised of the downward adjustment to the Closing Date Purchase Price and interest due pursuant to the terms of the Stock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24, 2025, the Board of Directors declared a cash dividend of $0.01 per common share. The dividend is payable on June 30, 2025 to shareholders of record on June 9, 2025.</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24, 2025, the Board of Directors declared a dividend of up to $2.0 million on the Series A Preferred Shares. The dividend will be payable in cash on June 30, 2025 to shareholders of record on June 15, 2025.</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2025, the Company announced its plans for Todd Sutherland, current Senior Vice President of the Management Liability division within the Company’s Excess and Surplus Lines (“E&amp;S”) segment, to succeed Richard Schmitzer as President of the E&amp;S segment effective May 6, 2025. Mr. Schmitzer announced that he will step down as Chief Executive Officer of the E&amp;S segment effective July 31, 2025, a position he has held since 2010, and retire during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and Part I, Item 1A “Risk Factors” in our Annual Report on Form 10-K for the year ended December 31, 2024. The results of operations for the three months ended March 31, 2025 are not necessarily indicative of the results that may be expected for the full year ending December 31, 2025,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(“JRG Holdings”) is a Bermuda-based holding company. We own and operate a group of five insurance companies with the objective of generating compelling returns on tangible equity while limiting underwriting and investment volatility. We seek to accomplish this by earning profits from insurance underwriting and generating meaningful investment returns, while managing our capital to meet our risk management, regulatory and rating agency requirements.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report our continuing operations in three reportable segments: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Specialty Admitted Insurance segment focuses on niche classes within the standard insurance markets with a primary focus on fronting business, where we retain a minority share of the risk and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managing general agents;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Corporate and Other segment consists of the management, technology, and treasury activities of our holding companies, interest expense associated with our debt, and expenses of our holding companies, including public company expenses and long-term incentive compensation (including share-based compensation) for the group.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discontinued operations include JRG Reinsurance Company Ltd. (“JRG Re”), which comprised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of JRG Re, which closed on April 16, 2024, resulted in the Company’s disposition of its casualty reinsurance business and related assets. The Company has no continued involvement with JRG Re following the sale.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U.S.-domiciled insurance subsidiaries are party to an intercompany reinsurance “pooling” agreement that distributes the net underwriting results among the group companies based on their approximate pro-rata level of statutory capital and surplus to the total Company statutory capital and surplus.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 Best Company financial strength rating for our U.S. insurance subsidiaries is “A-” (Excellent).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certain key metrics, described below, which we believe provide useful information about our business and the operational factors underlying our financial performance.</w:t>
      </w:r>
    </w:p>
    <w:p>
      <w:pPr>
        <w:pStyle w:val="TextBody"/>
        <w:bidi w:val="0"/>
        <w:spacing w:lineRule="auto" w:line="288" w:before="0" w:after="120"/>
        <w:jc w:val="both"/>
        <w:rPr/>
      </w:pPr>
      <w:r>
        <w:rPr>
          <w:rFonts w:ascii="Times New Roman;sans-serif" w:hAnsi="Times New Roman;sans-serif"/>
          <w:b w:val="false"/>
          <w:i/>
          <w:color w:val="000000"/>
          <w:sz w:val="20"/>
        </w:rPr>
        <w:t>Underwriting profit</w:t>
      </w:r>
      <w:r>
        <w:rPr>
          <w:color w:val="000000"/>
        </w:rPr>
        <w:t xml:space="preserve"> </w:t>
      </w:r>
      <w:r>
        <w:rPr>
          <w:rFonts w:ascii="Times New Roman;sans-serif" w:hAnsi="Times New Roman;sans-serif"/>
          <w:b w:val="false"/>
          <w:color w:val="000000"/>
          <w:sz w:val="20"/>
        </w:rPr>
        <w:t xml:space="preserve">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objective is to consistently earn underwriting profits. We evaluate the performance of our segments and allocate resources based primarily on the potential for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pStyle w:val="TextBody"/>
        <w:bidi w:val="0"/>
        <w:spacing w:lineRule="auto" w:line="288" w:before="0" w:after="120"/>
        <w:jc w:val="both"/>
        <w:rPr/>
      </w:pPr>
      <w:r>
        <w:rPr>
          <w:rFonts w:ascii="Times New Roman;sans-serif" w:hAnsi="Times New Roman;sans-serif"/>
          <w:b w:val="false"/>
          <w:i/>
          <w:color w:val="000000"/>
          <w:sz w:val="20"/>
        </w:rPr>
        <w:t>Loss ratio</w:t>
      </w:r>
      <w:r>
        <w:rPr>
          <w:rFonts w:ascii="Times New Roman;sans-serif" w:hAnsi="Times New Roman;sans-serif"/>
          <w:b w:val="false"/>
          <w:color w:val="000000"/>
          <w:sz w:val="20"/>
        </w:rPr>
        <w:t>, expressed as a percentage, is the ratio of losses and loss adjustment expenses on business from continuing operations not subject to retroactive reinsurance accounting to net earned premiums. Our definition of loss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ans-serif" w:hAnsi="Times New Roman;sans-serif"/>
          <w:b w:val="false"/>
          <w:i/>
          <w:color w:val="000000"/>
          <w:sz w:val="20"/>
        </w:rPr>
        <w:t>Accident year loss ratio</w:t>
      </w:r>
      <w:r>
        <w:rPr>
          <w:rFonts w:ascii="Times New Roman;sans-serif" w:hAnsi="Times New Roman;sans-serif"/>
          <w:b w:val="false"/>
          <w:color w:val="000000"/>
          <w:sz w:val="20"/>
        </w:rPr>
        <w:t>, expressed as a percentage, is the ratio of losses and loss adjustment expenses for the current accident year (excluding development on prior accident year reserves) to net earned premiums for the current year (excluding ceded earned premium associated adverse development covers covering prior accident years and net earned premium adjustments on certain reinsurance treaties with reinstatement premiums associated with prior years).</w:t>
      </w:r>
    </w:p>
    <w:p>
      <w:pPr>
        <w:pStyle w:val="TextBody"/>
        <w:bidi w:val="0"/>
        <w:spacing w:lineRule="auto" w:line="288" w:before="0" w:after="120"/>
        <w:jc w:val="both"/>
        <w:rPr/>
      </w:pPr>
      <w:r>
        <w:rPr>
          <w:rFonts w:ascii="Times New Roman;sans-serif" w:hAnsi="Times New Roman;sans-serif"/>
          <w:b w:val="false"/>
          <w:i/>
          <w:color w:val="000000"/>
          <w:sz w:val="20"/>
        </w:rPr>
        <w:t>Expense ratio</w:t>
      </w:r>
      <w:r>
        <w:rPr>
          <w:rFonts w:ascii="Times New Roman;sans-serif" w:hAnsi="Times New Roman;sans-serif"/>
          <w:b w:val="false"/>
          <w:color w:val="000000"/>
          <w:sz w:val="20"/>
        </w:rPr>
        <w:t>, expressed as a percentage, is the ratio of other operating expenses net of gross fee income included in other income to net earned premiums.</w:t>
      </w:r>
    </w:p>
    <w:p>
      <w:pPr>
        <w:pStyle w:val="TextBody"/>
        <w:bidi w:val="0"/>
        <w:spacing w:lineRule="auto" w:line="288" w:before="0" w:after="120"/>
        <w:jc w:val="both"/>
        <w:rPr/>
      </w:pPr>
      <w:r>
        <w:rPr>
          <w:rFonts w:ascii="Times New Roman;sans-serif" w:hAnsi="Times New Roman;sans-serif"/>
          <w:b w:val="false"/>
          <w:i/>
          <w:color w:val="000000"/>
          <w:sz w:val="20"/>
        </w:rPr>
        <w:t>Combined ratio</w:t>
      </w:r>
      <w:r>
        <w:rPr>
          <w:color w:val="000000"/>
        </w:rPr>
        <w:t xml:space="preserve"> </w:t>
      </w:r>
      <w:r>
        <w:rPr>
          <w:rFonts w:ascii="Times New Roman;sans-serif" w:hAnsi="Times New Roman;sans-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ans-serif" w:hAnsi="Times New Roman;sans-serif"/>
          <w:b w:val="false"/>
          <w:i/>
          <w:color w:val="000000"/>
          <w:sz w:val="20"/>
        </w:rPr>
        <w:t>Adjusted net operating income</w:t>
      </w:r>
      <w:r>
        <w:rPr>
          <w:color w:val="000000"/>
        </w:rPr>
        <w:t xml:space="preserve"> </w:t>
      </w:r>
      <w:r>
        <w:rPr>
          <w:rFonts w:ascii="Times New Roman;sans-serif" w:hAnsi="Times New Roman;sans-serif"/>
          <w:b w:val="false"/>
          <w:color w:val="000000"/>
          <w:sz w:val="20"/>
        </w:rPr>
        <w:t>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pStyle w:val="TextBody"/>
        <w:bidi w:val="0"/>
        <w:spacing w:lineRule="auto" w:line="288" w:before="0" w:after="120"/>
        <w:jc w:val="both"/>
        <w:rPr/>
      </w:pPr>
      <w:r>
        <w:rPr>
          <w:rFonts w:ascii="Times New Roman;sans-serif" w:hAnsi="Times New Roman;sans-serif"/>
          <w:b w:val="false"/>
          <w:i/>
          <w:color w:val="000000"/>
          <w:sz w:val="20"/>
        </w:rPr>
        <w:t xml:space="preserve">Tangible equity </w:t>
      </w:r>
      <w:r>
        <w:rPr>
          <w:rFonts w:ascii="Times New Roman;sans-serif" w:hAnsi="Times New Roman;sans-serif"/>
          <w:b w:val="false"/>
          <w:color w:val="000000"/>
          <w:sz w:val="20"/>
        </w:rPr>
        <w:t>is defined as shareholders' equity plus mezzanine Series A Preferred Shares (as defined below) and the unrecognized deferred retroactive reinsurance gain less goodwill and intangible assets, net of amortization.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bidi w:val="0"/>
        <w:spacing w:lineRule="auto" w:line="288" w:before="0" w:after="120"/>
        <w:jc w:val="both"/>
        <w:rPr/>
      </w:pPr>
      <w:r>
        <w:rPr>
          <w:rFonts w:ascii="Times New Roman;sans-serif" w:hAnsi="Times New Roman;sans-serif"/>
          <w:b w:val="false"/>
          <w:i/>
          <w:color w:val="000000"/>
          <w:sz w:val="20"/>
        </w:rPr>
        <w:t xml:space="preserve">Tangible equity per share </w:t>
      </w:r>
      <w:r>
        <w:rPr>
          <w:rFonts w:ascii="Times New Roman;sans-serif" w:hAnsi="Times New Roman;sans-serif"/>
          <w:b w:val="false"/>
          <w:color w:val="000000"/>
          <w:sz w:val="20"/>
        </w:rPr>
        <w:t>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w:t>
      </w:r>
    </w:p>
    <w:p>
      <w:pPr>
        <w:pStyle w:val="TextBody"/>
        <w:bidi w:val="0"/>
        <w:spacing w:lineRule="auto" w:line="288" w:before="0" w:after="120"/>
        <w:jc w:val="both"/>
        <w:rPr/>
      </w:pPr>
      <w:r>
        <w:rPr>
          <w:rFonts w:ascii="Times New Roman;sans-serif" w:hAnsi="Times New Roman;sans-serif"/>
          <w:b w:val="false"/>
          <w:i/>
          <w:color w:val="000000"/>
          <w:sz w:val="20"/>
        </w:rPr>
        <w:t>Tangible common equity</w:t>
      </w:r>
      <w:r>
        <w:rPr>
          <w:color w:val="000000"/>
        </w:rPr>
        <w:t xml:space="preserve"> </w:t>
      </w:r>
      <w:r>
        <w:rPr>
          <w:rFonts w:ascii="Times New Roman;sans-serif" w:hAnsi="Times New Roman;sans-serif"/>
          <w:b w:val="false"/>
          <w:color w:val="000000"/>
          <w:sz w:val="20"/>
        </w:rPr>
        <w:t>is defined as shareholders' equity plus the unrecognized deferred retroactive reinsurance gain less goodwill and intangible assets, net of amortization. We believe tangible common equity is a good measure to evaluate the strength of our balance sheet and to compare returns relative to this measure. Key financial measures that we use to assess our longer term financial performance include the percentage growth in our tangible common equity per share and our return on tangible common equity. Tangible common equity is a non-GAAP measure and should not be viewed as a substitute for shareholders’ equity calculated in accordance with GAAP. Our definition of tangible common equity may not be comparable to that of other companies. See “Reconciliation of Non-GAAP Measures” for a reconciliation of shareholders' equity to tangible common equity.</w:t>
      </w:r>
    </w:p>
    <w:p>
      <w:pPr>
        <w:pStyle w:val="TextBody"/>
        <w:bidi w:val="0"/>
        <w:spacing w:lineRule="auto" w:line="288" w:before="0" w:after="120"/>
        <w:jc w:val="both"/>
        <w:rPr/>
      </w:pPr>
      <w:r>
        <w:rPr>
          <w:rFonts w:ascii="Times New Roman;sans-serif" w:hAnsi="Times New Roman;sans-serif"/>
          <w:b w:val="false"/>
          <w:i/>
          <w:color w:val="000000"/>
          <w:sz w:val="20"/>
        </w:rPr>
        <w:t>Adjusted net operating return on tangible common equity</w:t>
      </w:r>
      <w:r>
        <w:rPr>
          <w:color w:val="000000"/>
        </w:rPr>
        <w:t xml:space="preserve"> </w:t>
      </w:r>
      <w:r>
        <w:rPr>
          <w:rFonts w:ascii="Times New Roman;sans-serif" w:hAnsi="Times New Roman;sans-serif"/>
          <w:b w:val="false"/>
          <w:color w:val="000000"/>
          <w:sz w:val="20"/>
        </w:rPr>
        <w:t>is defined as annualized adjusted net operating income expressed as a percentage of the average quarterly tangible common equity balances in the respective period.</w:t>
      </w:r>
    </w:p>
    <w:p>
      <w:pPr>
        <w:pStyle w:val="TextBody"/>
        <w:bidi w:val="0"/>
        <w:spacing w:lineRule="auto" w:line="288" w:before="0" w:after="120"/>
        <w:jc w:val="both"/>
        <w:rPr/>
      </w:pPr>
      <w:r>
        <w:rPr>
          <w:rFonts w:ascii="Times New Roman;sans-serif" w:hAnsi="Times New Roman;sans-serif"/>
          <w:b w:val="false"/>
          <w:i/>
          <w:color w:val="000000"/>
          <w:sz w:val="20"/>
        </w:rPr>
        <w:t>Tangible common equity per share</w:t>
      </w:r>
      <w:r>
        <w:rPr>
          <w:color w:val="000000"/>
        </w:rPr>
        <w:t xml:space="preserve"> </w:t>
      </w:r>
      <w:r>
        <w:rPr>
          <w:rFonts w:ascii="Times New Roman;sans-serif" w:hAnsi="Times New Roman;sans-serif"/>
          <w:b w:val="false"/>
          <w:color w:val="000000"/>
          <w:sz w:val="20"/>
        </w:rPr>
        <w:t>represents tangible common equity divided by the total common shares outstanding.</w:t>
      </w:r>
    </w:p>
    <w:p>
      <w:pPr>
        <w:pStyle w:val="TextBody"/>
        <w:bidi w:val="0"/>
        <w:spacing w:lineRule="auto" w:line="288" w:before="0" w:after="120"/>
        <w:jc w:val="both"/>
        <w:rPr/>
      </w:pPr>
      <w:r>
        <w:rPr>
          <w:rFonts w:ascii="Times New Roman;sans-serif" w:hAnsi="Times New Roman;sans-serif"/>
          <w:b w:val="false"/>
          <w:i/>
          <w:color w:val="000000"/>
          <w:sz w:val="20"/>
        </w:rPr>
        <w:t>Net retention</w:t>
      </w:r>
      <w:r>
        <w:rPr>
          <w:color w:val="000000"/>
        </w:rPr>
        <w:t xml:space="preserve"> </w:t>
      </w:r>
      <w:r>
        <w:rPr>
          <w:rFonts w:ascii="Times New Roman;sans-serif" w:hAnsi="Times New Roman;sans-serif"/>
          <w:b w:val="false"/>
          <w:color w:val="000000"/>
          <w:sz w:val="20"/>
        </w:rPr>
        <w:t>is defined as the ratio of net written premiums to gross written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i/>
          <w:color w:val="000000"/>
          <w:sz w:val="20"/>
        </w:rPr>
        <w:t>Gross investment yield</w:t>
      </w:r>
      <w:r>
        <w:rPr>
          <w:color w:val="000000"/>
        </w:rPr>
        <w:t xml:space="preserve"> </w:t>
      </w:r>
      <w:r>
        <w:rPr>
          <w:rFonts w:ascii="Times New Roman;sans-serif" w:hAnsi="Times New Roman;sans-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Unless specified otherwise, all references to our defined metrics above in this “Item 2. Management’s Discussion and Analysis of Financial Condition and Results of Operations”</w:t>
      </w:r>
      <w:r>
        <w:rPr>
          <w:color w:val="000000"/>
        </w:rPr>
        <w:t xml:space="preserve"> </w:t>
      </w:r>
      <w:r>
        <w:rPr>
          <w:rFonts w:ascii="Times New Roman;sans-serif" w:hAnsi="Times New Roman;sans-serif"/>
          <w:b w:val="false"/>
          <w:color w:val="000000"/>
          <w:sz w:val="20"/>
        </w:rPr>
        <w:t>are for our business from continuing operations that is not subject to retroactive reinsurance accounting.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2024. There have been no significant changes to any of these policies during the current year.</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Strategic Actions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2024, the Board of Directors concluded the strategic review process announced in November of 2023. While the strategic review process has been completed, in the ordinary course of business the Company and Board of Directors expect to consider opportunities consistent with its fiduciary duty.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James River Insurance and James River Casualty (together,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The Company has $41.2 million of aggregate limit remaining on the E&amp;S ADC at March 31, 2025.</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Enstar Strategic Relationship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commenced a multi-pronged strategic relationship with Enstar Group Limited (“Enstar”). As part of this, on November 11, 2024, Enstar, through its subsidiary Cavello Bay Reinsurance Limited (“Cavello Bay”), entered into (i) a subscription agreement to purchase $12.5 million of the Company’s common shares at a share price of $6.40, which shares are in addition to 637,640 shares Enstar previously purchased in the open market, and (ii) an adverse development cover agreement with James River (the “E&amp;S Top Up ADC”). Pursuant to the E&amp;S Top Up ADC,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 Enstar’s purchase of common shares and the E&amp;S Top Up ADC closed on December 23, 2024. The Company recognized a $52.8 million reduction in pre-tax income in connection with the E&amp;S Top Up ADC upon closing.</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Series A Preferred Share Amendment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11, 2024, the Company amended the Certificate of Designations setting forth the terms of the Series A Preferred Shares held by GPC Partners to, among other things, (i) convert $37.5 million of the outstanding Series A Preferred Shares to common stock at a per share price of $6.40 (the “Minimum Price”), (ii) increase the voluntary conversion price from 127.5% to 130% of the Minimum Price, (iii) increase the mandatory conversion price from 130% to 200% of the voluntary conversion price, (iv) delay the first date on which the dividend rate re-sets from March 1, 2027 to October 1, 2029, (v) cap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dividend rate at 8%, (vi) eliminate the adverse development anti-dilution adjustment provision, and (vii) limit transfers of the Series A Preferred Shares without the Company’s consent if, after the transfer, the transferee would hold 9.9% or more of the voting equity of the Company or, in the event of an A.M. Best downgrade of James River Insurance below A- (Excellent), 19.9% of the voting equity.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Sale of JRG 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the Company entered into a Stock Purchase Agreement (the “Stock Purchase Agreement”) with Fleming Intermediate Holdings LLC, a Cayman Islands limited liability company (“Fleming”). Pursuant to the Stock Purchase Agreement, and on the terms and subject to the conditions therein, Fleming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Stock Purchase Agreement, the aggregate consideration received by the Company, after giving effect to estimated adjustments based on changes in JRG Re’s adjusted net worth between March 31, 2023 and the closing, totaled approximately $291.4 million (the “Closing Date Purchase Price”). The aggregate Closing Date Purchase Price was comprised of (i) $152.4 million paid in cash by Fleming and (ii) an aggregate $139.0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was subject to final post-closing adjustments, which resulted in the downward adjustment to the cash portion of the Closing Date Purchase Price discussed below.</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Stock Purchase Agreement, Fleming delivered a closing statement to the Company, and pursuant to the procedures in the Stock Purchase Agreement, the Company gave its notice of disagreement with Fleming’s closing statement following review. In its notice of disagreement, the Company (i) agreed with an $11.4 million downward adjustment to the Closing Date Purchase Price due to losses from JRG Re’s operations between the date of the balance sheet used to produce the estimated closing statement and the Closing Date, which downward adjustment was paid to Fleming on October 18, 2024, and (ii) disputed $54.1 million in aggregate downward adjustments to the Closing Date Purchase Price claimed by Fleming, which the Company believed were unsupported by the facts known to the Company and the terms of the Stock Purchase Agreement. Pursuant to the terms of the Stock Purchase Agreement, the parties appointed an independent accounting firm to resolve the disputed items in Fleming's closing statement. On April 18, 2025, the independent accounting firm issued its final determination, which resulted in a downward adjustment to the Closing Date Purchase Price of $483,625. The Company recorded a liability of $519,577 at March 31, 2025 for the downward adjustment to the Closing Date Purchase Price of $483,625 plus $35,952 of interest due pursuant to the terms of the Stock Purchase Agreement. The $519,577 represents an increase in the loss on disposal of JRG 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sale of JRG Re represented a strategic shift that will have a major effect on its operations. Accordingly, the results of JRG Re's operations have been presented as discontinued operations for all periods presented in this interim report on Form 10-Q.</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$139.0 million pre-closing dividend was completed in the first quarter of 2024. It included the forgiveness of $133.2 million owed from JRG Holdings to JRG Re and $5.8 million paid in cash to JRG Holdings.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In the three months ended March 31, 2024, the estimated loss on the sale was revised to $78.9 million. The loss on disposal for the three months ended March 31, 2024 of $172,000 includes the $1.5 million gain for the change in the estimated loss on sale and selling costs incurred of $1.7 million. For the three months ended March 31, 2025, the loss on disposal of $1.4 million included the $520,000 downward adjustment to the Closing Date Purchase Price plus interest and $894,000 of additional selling costs incurred by the Company related to the sale of JRG 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w:t>
      </w:r>
    </w:p>
    <w:tbl>
      <w:tblPr>
        <w:tblW w:w="10205" w:type="dxa"/>
        <w:jc w:val="left"/>
        <w:tblInd w:w="0" w:type="dxa"/>
        <w:tblLayout w:type="fixed"/>
        <w:tblCellMar>
          <w:top w:w="28" w:type="dxa"/>
          <w:left w:w="28" w:type="dxa"/>
          <w:bottom w:w="28" w:type="dxa"/>
          <w:right w:w="28" w:type="dxa"/>
        </w:tblCellMar>
      </w:tblPr>
      <w:tblGrid>
        <w:gridCol w:w="1876"/>
        <w:gridCol w:w="1603"/>
        <w:gridCol w:w="1615"/>
        <w:gridCol w:w="109"/>
        <w:gridCol w:w="109"/>
        <w:gridCol w:w="109"/>
        <w:gridCol w:w="109"/>
        <w:gridCol w:w="113"/>
        <w:gridCol w:w="113"/>
        <w:gridCol w:w="220"/>
        <w:gridCol w:w="862"/>
        <w:gridCol w:w="282"/>
        <w:gridCol w:w="109"/>
        <w:gridCol w:w="109"/>
        <w:gridCol w:w="109"/>
        <w:gridCol w:w="211"/>
        <w:gridCol w:w="826"/>
        <w:gridCol w:w="271"/>
        <w:gridCol w:w="109"/>
        <w:gridCol w:w="109"/>
        <w:gridCol w:w="109"/>
        <w:gridCol w:w="288"/>
        <w:gridCol w:w="288"/>
        <w:gridCol w:w="547"/>
      </w:tblGrid>
      <w:tr>
        <w:trPr/>
        <w:tc>
          <w:tcPr>
            <w:tcW w:w="187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6"/>
            <w:tcBorders/>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294,361 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(11.0)</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retention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127,956 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(7.4)</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151,902 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(11.5)</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(11.0)</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(91.1)</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(51.8)</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(11.6)</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(losses)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98.3 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(14.6)</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16,009 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(51.4)</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(46.9)</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(53.3)</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(82.6)</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(37.8)</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(25.0)</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(40.5)</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net operating income </w:t>
            </w:r>
            <w:r>
              <w:rPr>
                <w:rFonts w:ascii="Times New Roman;sans-serif" w:hAnsi="Times New Roman;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(38.6)</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and adjusted net operating income are non-GAAP measures. See “Reconciliation of Non-GAAP Measures.”</w:t>
      </w:r>
    </w:p>
    <w:p>
      <w:pPr>
        <w:pStyle w:val="TextBody"/>
        <w:bidi w:val="0"/>
        <w:spacing w:lineRule="auto" w:line="288" w:before="0" w:after="24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(2)Included in underwriting results for the three months ended March 31, 2025 and 2024 is gross fee income of $4.3 million, and $5.3 million, respectively.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2025 and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produced net income from continuing operations of $11.0 million for the three months ended March 31, 2025 compared to $23.5 million for the three months ended March 31, 2024. Adjusted net operating income was $9.1 million and $14.8 million in the respective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profits were $721,000 and $8.1 million (combined ratios of 99.5% and 95.3%) for the three months ended March 31, 2025 and 2024, respectively. Underwriting results for the three months ended March 31, 2025 include $3.1 million of premium adjustments associated with prior years including reinstatement premium in the Excess and Surplus Lines segment. The premium adjustments reduced net written and net earned premiums, and underwriting profit in the current quarter and resulted in a 2.0 percentage point increase in our combined ratio.</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loss ratios for the three month periods were comparable. The current year ratio was elevated 1.4 points by premium adjustments associated with prior years including reinstatement premium in the Excess and Surplus Lines segment. The impact of the premium adjustments was largely offset by a lower current accident year loss ratio and segment mix with the Excess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Surplus Lines segment representing 90.2% of consolidated net earned premiums in the three months ended March 31, 2025 compared to 84.8% in the three months ended March 31, 2024. Net reserve development on prior accident years (excluding adverse prior year development from continuing operations that is subject to retroactive reinsurance accounting - see discussion below) was negligible in both periods at $131,000 or 0.1 points favorable in the three months ended March 31, 2025 compared to $398,000 or 0.2 points favorable in the three months ended March 31,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expense ratio increased from 28.9% in the prior year to 32.7% in the current year primarily reflecting a higher current year expense ratio for the Excess and Surplus Lines segment driven by lower net earned premium, including the impact of $3.1 million of premium adjustments associated with prior years reinstatement premium, and higher compensation expenses. The higher expense ratio for the Excess and Surplus Lines segment was partially offset by a lower current year expense ratio for the Specialty Admitted Insurance segment and lower current year expenses for the Corporate and Other segment. The $3.1 million of premium adjustments associated with prior years including reinstatement premium in the Excess and Surplus Lines segment represented a 0.6 percentage point increase in the consolidated expense ratio for the current year quarter.</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Investment income declined by $2.6 million or 11.6% in the three months ended March 31, 2025 compared to the same period in the prior year driven by lower invested assets following the funding of strategic initiatives during the last half of 2024 including the reinsurance premium paid to enter the E&amp;S ADC and the E&amp;S Top Up ADC, as well as lower yields. Net realized and unrealized losses on investments of $1.4 million for the three months ended March 31, 2025 include $2.3 million of net realized and unrealized losses on bank loan participations, partially offset by $918,000 of net realized and unrealized gains on equity securities. Net realized and unrealized gains of $4.6 million for the three months ended March 31, 2024 were largely due to favorable mark-to-market adjustments on equity securities of $4.2 million and bank loan participations of $359,000 (see </w:t>
      </w:r>
      <w:r>
        <w:rPr>
          <w:rFonts w:ascii="Times New Roman;sans-serif" w:hAnsi="Times New Roman;sans-serif"/>
          <w:b w:val="false"/>
          <w:i/>
          <w:color w:val="000000"/>
          <w:sz w:val="20"/>
        </w:rPr>
        <w:t>Investing Results</w:t>
      </w:r>
      <w:r>
        <w:rPr>
          <w:color w:val="000000"/>
        </w:rPr>
        <w:t xml:space="preserve"> </w:t>
      </w:r>
      <w:r>
        <w:rPr>
          <w:rFonts w:ascii="Times New Roman;sans-serif" w:hAnsi="Times New Roman;sans-serif"/>
          <w:b w:val="false"/>
          <w:color w:val="000000"/>
          <w:sz w:val="20"/>
        </w:rPr>
        <w:t>below).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definitive agreement on November 8, 2023 to sell JRG Re. The sale closed on April 16, 2024 and discontinued operations in the prior year period includes the operating results of JRG Re which were a loss of $7.9 million for the three months ended March 31, 2024. The prior year loss from discontinued operations primarily reflects net adverse development of $7.1 million on treaties not subject to the Casualty Re loss portfolio transfer. The loss on disposal, also included in discontinued operations above, was $1.4 million and $172,000 in the three months ended March 31, 2025 and 2024,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results declined from the prior year reflecting the lower underwriting results and lower investment income. Growth in tangible common equity of 7.1% was largely driven by net income and unrealized gains on fixed maturities in other comprehensive income. Our 11.5% adjusted net operating return on tangible common equity for the three months ended March 31, 2025 compares to a 17.4% return for the three months ended March 31, 2024.</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 and Adverse Development Covers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Auto Loss Portfolio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$459.4 million and $459.3 million as of March 31, 2025 and December 31, 2024, respectively.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The Company has $41.2 million of aggregate limit remaining on the E&amp;S ADC at March 31, 2025.</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Adverse Development Cover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2024, Enstar Group Limited ("Enstar"), through its subsidiary Cavello Bay Reinsurance Limited,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and up to an aggregate limit of $75.0 million. The E&amp;S Top Up ADC closed on December 23, 2024. The Company recognized a $52.8 million reduction in pre-tax income in connection with the adverse development cover upon closing. The Company has $75.0 million of aggregate limit remaining on the E&amp;S Top Up ADC at March 31, 2025.</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our results in the short-term, over the life of the contract, we would expect no economic impact to the Company as long as the counterparty performs under the contract and losses are within the limit (if any). The impact of retroactive reinsurance accounting is not indicative of our current and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retroactive reinsurance accounting for the Commercial Auto LPT and the E&amp;S ADC for the three months ended March 31, 2025 and 2024, respectively.</w:t>
      </w:r>
    </w:p>
    <w:tbl>
      <w:tblPr>
        <w:tblW w:w="7419" w:type="dxa"/>
        <w:jc w:val="left"/>
        <w:tblInd w:w="0" w:type="dxa"/>
        <w:tblLayout w:type="fixed"/>
        <w:tblCellMar>
          <w:top w:w="28" w:type="dxa"/>
          <w:left w:w="28" w:type="dxa"/>
          <w:bottom w:w="28" w:type="dxa"/>
          <w:right w:w="28" w:type="dxa"/>
        </w:tblCellMar>
      </w:tblPr>
      <w:tblGrid>
        <w:gridCol w:w="1797"/>
        <w:gridCol w:w="1580"/>
        <w:gridCol w:w="1588"/>
        <w:gridCol w:w="211"/>
        <w:gridCol w:w="721"/>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Commercial Auto LPT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E&amp;S ADC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prior year development ceded on subject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under the recovery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retroactive reinsurance gain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Premiums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premiums are earned ratably over the terms of our insurance policies, generally twelve months. The following table summarizes the change in premium volume by component and business segment:</w:t>
      </w:r>
    </w:p>
    <w:tbl>
      <w:tblPr>
        <w:tblW w:w="7489" w:type="dxa"/>
        <w:jc w:val="left"/>
        <w:tblInd w:w="0" w:type="dxa"/>
        <w:tblLayout w:type="fixed"/>
        <w:tblCellMar>
          <w:top w:w="28" w:type="dxa"/>
          <w:left w:w="28" w:type="dxa"/>
          <w:bottom w:w="28" w:type="dxa"/>
          <w:right w:w="28" w:type="dxa"/>
        </w:tblCellMar>
      </w:tblPr>
      <w:tblGrid>
        <w:gridCol w:w="913"/>
        <w:gridCol w:w="800"/>
        <w:gridCol w:w="807"/>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1"/>
        <w:gridCol w:w="294"/>
        <w:gridCol w:w="544"/>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294,361 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(5.9)</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written premiums for the Excess and Surplus Lines segment (which represents 72.4% of our consolidated gross written premiums from continuing operations in the three months ended March 31, 2025) were flat with the prior year period. Amid moderating rate increases and increased competition, we are being selective in certain lines of business. Submission growth for Core E&amp;S lines (excluding commercial auto) increased 6.3% over the prior year quarter. The number of bound policies declined 1.2%, and average premium size decreased 8.4% due to our focus on writing smaller accounts and the mix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business. Renewal rates for the Excess and Surplus Lines segment were up 7.8% compared to the three months ended March 31, 2024. The change in gross written premiums was notable in several divisions as shown below:</w:t>
      </w:r>
    </w:p>
    <w:tbl>
      <w:tblPr>
        <w:tblW w:w="8863" w:type="dxa"/>
        <w:jc w:val="center"/>
        <w:tblInd w:w="0" w:type="dxa"/>
        <w:tblLayout w:type="fixed"/>
        <w:tblCellMar>
          <w:top w:w="28" w:type="dxa"/>
          <w:left w:w="28" w:type="dxa"/>
          <w:bottom w:w="28" w:type="dxa"/>
          <w:right w:w="28" w:type="dxa"/>
        </w:tblCellMar>
      </w:tblPr>
      <w:tblGrid>
        <w:gridCol w:w="1453"/>
        <w:gridCol w:w="1282"/>
        <w:gridCol w:w="1285"/>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1"/>
        <w:gridCol w:w="294"/>
        <w:gridCol w:w="418"/>
      </w:tblGrid>
      <w:tr>
        <w:trPr/>
        <w:tc>
          <w:tcPr>
            <w:tcW w:w="14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0" w:type="dxa"/>
            <w:gridSpan w:val="6"/>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&amp; Contractors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(41.6)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Core E&amp;S divisions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E&amp;S divisions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206,534 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gross written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gross written premiums for the Specialty Admitted Insurance segment (which represents 27.6% of our consolidated gross written premiums for the three months ended March 31, 2025) are as follows:</w:t>
      </w:r>
    </w:p>
    <w:tbl>
      <w:tblPr>
        <w:tblW w:w="8850" w:type="dxa"/>
        <w:jc w:val="left"/>
        <w:tblInd w:w="0" w:type="dxa"/>
        <w:tblLayout w:type="fixed"/>
        <w:tblCellMar>
          <w:top w:w="28" w:type="dxa"/>
          <w:left w:w="28" w:type="dxa"/>
          <w:bottom w:w="28" w:type="dxa"/>
          <w:right w:w="28" w:type="dxa"/>
        </w:tblCellMar>
      </w:tblPr>
      <w:tblGrid>
        <w:gridCol w:w="1448"/>
        <w:gridCol w:w="1276"/>
        <w:gridCol w:w="1281"/>
        <w:gridCol w:w="109"/>
        <w:gridCol w:w="109"/>
        <w:gridCol w:w="109"/>
        <w:gridCol w:w="109"/>
        <w:gridCol w:w="139"/>
        <w:gridCol w:w="139"/>
        <w:gridCol w:w="269"/>
        <w:gridCol w:w="919"/>
        <w:gridCol w:w="139"/>
        <w:gridCol w:w="109"/>
        <w:gridCol w:w="109"/>
        <w:gridCol w:w="109"/>
        <w:gridCol w:w="211"/>
        <w:gridCol w:w="826"/>
        <w:gridCol w:w="109"/>
        <w:gridCol w:w="109"/>
        <w:gridCol w:w="109"/>
        <w:gridCol w:w="109"/>
        <w:gridCol w:w="293"/>
        <w:gridCol w:w="293"/>
        <w:gridCol w:w="418"/>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1"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Fronting and program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(29.7)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risk workers’ compensation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(89.6)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gross written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fronting written premium decreased from the prior year driven by several non-renewals, most notably a large California workers' compensation program in run-off representing $12.3 million of the decline in segment gross written premium. Our largest fronting relationship represented $30.7 million or 37.9% of segment gross written premium for the three months ended March 31, 2025 compared to $46.7 million or 39.8% for the three months ended March 31, 2024. The Company has received notifications of non-renewal for this relationship which will result in a full run-off of the business beginning July 1, 2025. Individual risk workers' compensation premium continues to run off following the sale of the renewal rights to that business in 2023.</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Retention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net premium retention is summarized by segment as follows:</w:t>
      </w:r>
    </w:p>
    <w:tbl>
      <w:tblPr>
        <w:tblW w:w="5512" w:type="dxa"/>
        <w:jc w:val="left"/>
        <w:tblInd w:w="0" w:type="dxa"/>
        <w:tblLayout w:type="fixed"/>
        <w:tblCellMar>
          <w:top w:w="28" w:type="dxa"/>
          <w:left w:w="28" w:type="dxa"/>
          <w:bottom w:w="28" w:type="dxa"/>
          <w:right w:w="28" w:type="dxa"/>
        </w:tblCellMar>
      </w:tblPr>
      <w:tblGrid>
        <w:gridCol w:w="911"/>
        <w:gridCol w:w="801"/>
        <w:gridCol w:w="808"/>
        <w:gridCol w:w="109"/>
        <w:gridCol w:w="109"/>
        <w:gridCol w:w="247"/>
        <w:gridCol w:w="247"/>
        <w:gridCol w:w="255"/>
        <w:gridCol w:w="256"/>
        <w:gridCol w:w="615"/>
        <w:gridCol w:w="109"/>
        <w:gridCol w:w="109"/>
        <w:gridCol w:w="109"/>
        <w:gridCol w:w="255"/>
        <w:gridCol w:w="256"/>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4"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Lower net premium retention for the Excess and Surplus Lines segment in the three months ended March 31, 2025 was primarily driven by $3.1 million of premium adjustments associated with prior years including reinstatement premium which reduced net written premiums and the net retention ratio.</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premium retention for the Specialty Admitted Insurance segment decreased for the three months ended March 31, 2025 as fronting business, where we retain a much smaller percentage, represents a greater portion of the book following the sale of the renewal rights to the individual risk workers' compensation business in 2023. The net retention on the fronting business was 15.5% for the three months ended March 31, 2025, down from 16.7% for the three months ended March 31, 2024 due to the mix of business, including the impact of certain non-renewals, and changes in reinsurance as coverages renew.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combined ratios by segment:</w:t>
      </w:r>
    </w:p>
    <w:tbl>
      <w:tblPr>
        <w:tblW w:w="5617" w:type="dxa"/>
        <w:jc w:val="left"/>
        <w:tblInd w:w="0" w:type="dxa"/>
        <w:tblLayout w:type="fixed"/>
        <w:tblCellMar>
          <w:top w:w="28" w:type="dxa"/>
          <w:left w:w="28" w:type="dxa"/>
          <w:bottom w:w="28" w:type="dxa"/>
          <w:right w:w="28" w:type="dxa"/>
        </w:tblCellMar>
      </w:tblPr>
      <w:tblGrid>
        <w:gridCol w:w="911"/>
        <w:gridCol w:w="801"/>
        <w:gridCol w:w="808"/>
        <w:gridCol w:w="109"/>
        <w:gridCol w:w="109"/>
        <w:gridCol w:w="247"/>
        <w:gridCol w:w="247"/>
        <w:gridCol w:w="307"/>
        <w:gridCol w:w="309"/>
        <w:gridCol w:w="615"/>
        <w:gridCol w:w="109"/>
        <w:gridCol w:w="109"/>
        <w:gridCol w:w="109"/>
        <w:gridCol w:w="255"/>
        <w:gridCol w:w="256"/>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4"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Excess and Surplus Lines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Excess and Surplus Lines segment are as follows:</w:t>
      </w:r>
    </w:p>
    <w:tbl>
      <w:tblPr>
        <w:tblW w:w="10205" w:type="dxa"/>
        <w:jc w:val="left"/>
        <w:tblInd w:w="0" w:type="dxa"/>
        <w:tblLayout w:type="fixed"/>
        <w:tblCellMar>
          <w:top w:w="28" w:type="dxa"/>
          <w:left w:w="28" w:type="dxa"/>
          <w:bottom w:w="28" w:type="dxa"/>
          <w:right w:w="28" w:type="dxa"/>
        </w:tblCellMar>
      </w:tblPr>
      <w:tblGrid>
        <w:gridCol w:w="1916"/>
        <w:gridCol w:w="1644"/>
        <w:gridCol w:w="1657"/>
        <w:gridCol w:w="109"/>
        <w:gridCol w:w="109"/>
        <w:gridCol w:w="109"/>
        <w:gridCol w:w="109"/>
        <w:gridCol w:w="113"/>
        <w:gridCol w:w="113"/>
        <w:gridCol w:w="220"/>
        <w:gridCol w:w="863"/>
        <w:gridCol w:w="283"/>
        <w:gridCol w:w="109"/>
        <w:gridCol w:w="109"/>
        <w:gridCol w:w="109"/>
        <w:gridCol w:w="211"/>
        <w:gridCol w:w="826"/>
        <w:gridCol w:w="271"/>
        <w:gridCol w:w="109"/>
        <w:gridCol w:w="109"/>
        <w:gridCol w:w="109"/>
        <w:gridCol w:w="287"/>
        <w:gridCol w:w="289"/>
        <w:gridCol w:w="422"/>
      </w:tblGrid>
      <w:tr>
        <w:trPr/>
        <w:tc>
          <w:tcPr>
            <w:tcW w:w="191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25" w:type="dxa"/>
            <w:gridSpan w:val="6"/>
            <w:tcBorders/>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(0.2)</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115,079 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137,028 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(5.9)</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(5.1)</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(36,566)</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9.1 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i/>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(37.0)</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is a non-GAAP Measure. See “Reconciliation of Non-GAAP Measures.”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produced underwriting profits of $11.7 million and $18.5 million (combined ratios of 91.5% and 87.3%) in the three months ended March 31, 2025 and 2024, respectively. The underwriting results for the three months ended March 31, 2025 were impacted by $3.1 million of premium adjustments associated with prior years including reinstatement premium which reduced net written and net earned premiums, and underwriting profit. The impact of the premium adjustments was a 2.0 percentage point increase in the segment combined ratio for the quarter.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loss ratio for the three months ended March 31, 2025 was slightly higher than the prior year period as a 1.4 point increase related to the prior year premium adjustments was mostly offset by a lower current accident year loss ratio. Net adverse reserve development on prior accident years (excluding adverse prior year development that is subject to retroactive reinsurance accounting - see discussion above) was negligible in both periods at $10,000 favorable in the three months ended March 31, 2025 compared to $40,000 adverse in the three months ended March 31,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expense ratio increased from 23.0% in the prior year quarter to 26.7% in the current year quarter reflecting lower net earned premium, including the impact of $3.1 million of premium adjustments associated with prior years reinstatement premium and higher compensation expenses. The premium adjustments represented a 0.6 percentage point increase in the segment expense ratio for the current year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Specialty Admitted Insurance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Specialty Admitted Insurance segment are as follows:</w:t>
      </w:r>
    </w:p>
    <w:tbl>
      <w:tblPr>
        <w:tblW w:w="8096" w:type="dxa"/>
        <w:jc w:val="left"/>
        <w:tblInd w:w="0" w:type="dxa"/>
        <w:tblLayout w:type="fixed"/>
        <w:tblCellMar>
          <w:top w:w="28" w:type="dxa"/>
          <w:left w:w="28" w:type="dxa"/>
          <w:bottom w:w="28" w:type="dxa"/>
          <w:right w:w="28" w:type="dxa"/>
        </w:tblCellMar>
      </w:tblPr>
      <w:tblGrid>
        <w:gridCol w:w="1120"/>
        <w:gridCol w:w="981"/>
        <w:gridCol w:w="989"/>
        <w:gridCol w:w="109"/>
        <w:gridCol w:w="109"/>
        <w:gridCol w:w="109"/>
        <w:gridCol w:w="109"/>
        <w:gridCol w:w="123"/>
        <w:gridCol w:w="123"/>
        <w:gridCol w:w="238"/>
        <w:gridCol w:w="814"/>
        <w:gridCol w:w="306"/>
        <w:gridCol w:w="109"/>
        <w:gridCol w:w="109"/>
        <w:gridCol w:w="109"/>
        <w:gridCol w:w="211"/>
        <w:gridCol w:w="826"/>
        <w:gridCol w:w="271"/>
        <w:gridCol w:w="109"/>
        <w:gridCol w:w="109"/>
        <w:gridCol w:w="109"/>
        <w:gridCol w:w="293"/>
        <w:gridCol w:w="293"/>
        <w:gridCol w:w="418"/>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1"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14,874 </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(47.7)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Underwriting profit</w:t>
            </w:r>
            <w:r>
              <w:rPr>
                <w:color w:val="000000"/>
              </w:rPr>
              <w:t xml:space="preserve"> </w:t>
            </w:r>
            <w:r>
              <w:rPr>
                <w:rFonts w:ascii="Times New Roman;sans-serif" w:hAnsi="Times New Roman;sans-serif"/>
                <w:b w:val="false"/>
                <w:i/>
                <w:color w:val="000000"/>
                <w:sz w:val="16"/>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is a non-GAAP Measure. See “Reconciliation of Non-GAAP Measures.”</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(2)Underwriting results include gross fee income of $4.3 million and $5.3 million for the three months ended March 31, 2025 and 2024,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reported an underwriting loss of $306,000 and a combined ratio of 102.1% in the three months ended March 31, 2025. This compares to an underwriting profit of $786,000 and a combined ratios of 97.0% in the prior year period. Net favorable development in our loss estimates for prior accident years was $121,000 and $438,000 (0.8 and 1.7 points) in the three months ended March 31, 2025 and 2024, respectively.</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operating expenses for the Corporate and Other segment include personnel costs associated with the Bermuda and U.S. holding companies, professional fees, long-term incentive compensation (including share-based compensation) for the full Company, public company and various other corporate expenses. The expenses are included in our calculation of consolidated underwriting profit, and in our consolidated expense ratio and combined ratio. Total operating expenses of the Corporate and Other segment were $10.6 million and $11.1 million for the three months ended</w:t>
      </w:r>
      <w:r>
        <w:rPr>
          <w:color w:val="000000"/>
        </w:rPr>
        <w:t xml:space="preserve"> </w:t>
      </w:r>
      <w:r>
        <w:rPr>
          <w:rFonts w:ascii="Times New Roman;sans-serif" w:hAnsi="Times New Roman;sans-serif"/>
          <w:b w:val="false"/>
          <w:color w:val="000000"/>
          <w:sz w:val="20"/>
        </w:rPr>
        <w:t>March 31, 2025 and 2024, respectively.</w:t>
      </w:r>
    </w:p>
    <w:p>
      <w:pPr>
        <w:pStyle w:val="TextBody"/>
        <w:bidi w:val="0"/>
        <w:spacing w:lineRule="auto" w:line="288" w:before="100" w:after="120"/>
        <w:jc w:val="left"/>
        <w:rPr>
          <w:rFonts w:ascii="Times New Roman;sans-serif" w:hAnsi="Times New Roman;sans-serif"/>
          <w:b/>
          <w:i/>
          <w:color w:val="000000"/>
          <w:sz w:val="20"/>
        </w:rPr>
      </w:pPr>
      <w:r>
        <w:rPr>
          <w:rFonts w:ascii="Times New Roman;sans-serif" w:hAnsi="Times New Roman;sans-serif"/>
          <w:b/>
          <w:i/>
          <w:color w:val="000000"/>
          <w:sz w:val="20"/>
        </w:rPr>
        <w:t>Investing Results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Net investment income was $20.0 million and $22.6 million for the three months ended</w:t>
      </w:r>
      <w:r>
        <w:rPr>
          <w:color w:val="000000"/>
        </w:rPr>
        <w:t xml:space="preserve"> </w:t>
      </w:r>
      <w:r>
        <w:rPr>
          <w:rFonts w:ascii="Times New Roman;sans-serif" w:hAnsi="Times New Roman;sans-serif"/>
          <w:b w:val="false"/>
          <w:color w:val="000000"/>
          <w:sz w:val="20"/>
        </w:rPr>
        <w:t>March 31, 2025 and 2024, respectively. The Company's private investments generated income of $200,000 for the three months ended</w:t>
      </w:r>
      <w:r>
        <w:rPr>
          <w:color w:val="000000"/>
        </w:rPr>
        <w:t xml:space="preserve"> </w:t>
      </w:r>
      <w:r>
        <w:rPr>
          <w:rFonts w:ascii="Times New Roman;sans-serif" w:hAnsi="Times New Roman;sans-serif"/>
          <w:b w:val="false"/>
          <w:color w:val="000000"/>
          <w:sz w:val="20"/>
        </w:rPr>
        <w:t>March 31, 2025 compared to losses of $145,000 for the three months ended March 31, 2024. Excluding private investments, our net investment income for the three months ended March 31, 2025 decreased 13.0% from the prior year period, principally due to lower invested assets following the funding of strategic initiatives during the last half of 2024 including the reinsurance premium paid to enter the E&amp;S ADC and the E&amp;S Top Up ADC, as well as lower yields. The average duration of our portfolio excluding restricted cash equivalents was 3.5 years at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Major categories of the Company’s net investment income are summarized as follows:</w:t>
      </w:r>
    </w:p>
    <w:tbl>
      <w:tblPr>
        <w:tblW w:w="9670" w:type="dxa"/>
        <w:jc w:val="left"/>
        <w:tblInd w:w="0" w:type="dxa"/>
        <w:tblLayout w:type="fixed"/>
        <w:tblCellMar>
          <w:top w:w="28" w:type="dxa"/>
          <w:left w:w="28" w:type="dxa"/>
          <w:bottom w:w="28" w:type="dxa"/>
          <w:right w:w="28" w:type="dxa"/>
        </w:tblCellMar>
      </w:tblPr>
      <w:tblGrid>
        <w:gridCol w:w="2332"/>
        <w:gridCol w:w="2048"/>
        <w:gridCol w:w="2054"/>
        <w:gridCol w:w="109"/>
        <w:gridCol w:w="109"/>
        <w:gridCol w:w="139"/>
        <w:gridCol w:w="139"/>
        <w:gridCol w:w="269"/>
        <w:gridCol w:w="919"/>
        <w:gridCol w:w="139"/>
        <w:gridCol w:w="109"/>
        <w:gridCol w:w="109"/>
        <w:gridCol w:w="109"/>
        <w:gridCol w:w="211"/>
        <w:gridCol w:w="721"/>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annualized gross investment yields:</w:t>
      </w:r>
    </w:p>
    <w:tbl>
      <w:tblPr>
        <w:tblW w:w="5000" w:type="dxa"/>
        <w:jc w:val="left"/>
        <w:tblInd w:w="0" w:type="dxa"/>
        <w:tblLayout w:type="fixed"/>
        <w:tblCellMar>
          <w:top w:w="28" w:type="dxa"/>
          <w:left w:w="28" w:type="dxa"/>
          <w:bottom w:w="28" w:type="dxa"/>
          <w:right w:w="28" w:type="dxa"/>
        </w:tblCellMar>
      </w:tblPr>
      <w:tblGrid>
        <w:gridCol w:w="772"/>
        <w:gridCol w:w="678"/>
        <w:gridCol w:w="680"/>
        <w:gridCol w:w="109"/>
        <w:gridCol w:w="109"/>
        <w:gridCol w:w="247"/>
        <w:gridCol w:w="247"/>
        <w:gridCol w:w="247"/>
        <w:gridCol w:w="247"/>
        <w:gridCol w:w="615"/>
        <w:gridCol w:w="109"/>
        <w:gridCol w:w="109"/>
        <w:gridCol w:w="109"/>
        <w:gridCol w:w="203"/>
        <w:gridCol w:w="203"/>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49" w:type="dxa"/>
            <w:gridSpan w:val="6"/>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our total cash and invested assets of $1,902.7 million at March 31, 2025 (excluding restricted cash equivalents), $279.4 million represents the cash and cash equivalents portion of the portfolio. The majority of the portfolio, or $1,259.6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$144.0 million of bank loan participations, $87.7 million of equity securities, $79.1 million of short-term investments, and $52.8 million of other invested assets.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sans-serif" w:hAnsi="Times New Roman;sans-serif"/>
          <w:b w:val="false"/>
          <w:color w:val="231F20"/>
          <w:sz w:val="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w:t>
      </w:r>
      <w:r>
        <w:rPr>
          <w:rFonts w:ascii="Times New Roman;sans-serif" w:hAnsi="Times New Roman;sans-serif"/>
          <w:b w:val="false"/>
          <w:color w:val="000000"/>
          <w:sz w:val="20"/>
        </w:rPr>
        <w:t>At March 31, 2025 and December 31, 2024, the fair market value of these securities was $144.0 million and $142.4 million,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Company recognized net realized and unrealized investment losses of $1.4 million, including $640,000 of net unrealized losses on bank loan participations, $708,000 of net unrealized gains for the change in the fair value of equity securities, $1.7 million of net realized investment losses on the sale of bank loan participations, $210,000 of net realized investment gains on the sale of equity securities, and $25,000 of net realized investment gains on the sale of fixed maturity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 Company recognized net realized and unrealized investment gains of $4.6 million, including $359,000 of net unrealized gains on bank loan participations, $4.2 million of net unrealized gains for the change in the fair value of equity securities, $640,000 of net realized investment losses on the sale of bank loan participations, $947,000 of net realized investment gains on the sale of equity securities, and $311,000 of net realized investment losses on the sale of fixed maturity securities.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conjunction with its outside investment managers, the Company performs quarterly reviews of all securities within its investment portfolio to determine whether any impairment has occurred. As a result of this review, management concluded that there were no credit-related impairments of fixed maturity securities at March 31, 2025, December 31, 2024, or March 31, 2024. At March 31, 2025, 100.0% of the Company’s fixed maturity security portfolio was rated “BBB-” or better (“investment grade”) by Standard &amp; Poor’s or received an equivalent rating from another nationally recognized rating agency. </w:t>
      </w:r>
      <w:r>
        <w:rPr>
          <w:rFonts w:ascii="Times New Roman;sans-serif" w:hAnsi="Times New Roman;sans-serif"/>
          <w:b w:val="false"/>
          <w:color w:val="231F20"/>
          <w:sz w:val="20"/>
        </w:rPr>
        <w:t>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fixed maturity securities were as follows:</w:t>
      </w:r>
    </w:p>
    <w:tbl>
      <w:tblPr>
        <w:tblW w:w="10393" w:type="dxa"/>
        <w:jc w:val="left"/>
        <w:tblInd w:w="0" w:type="dxa"/>
        <w:tblLayout w:type="fixed"/>
        <w:tblCellMar>
          <w:top w:w="28" w:type="dxa"/>
          <w:left w:w="28" w:type="dxa"/>
          <w:bottom w:w="28" w:type="dxa"/>
          <w:right w:w="28" w:type="dxa"/>
        </w:tblCellMar>
      </w:tblPr>
      <w:tblGrid>
        <w:gridCol w:w="1117"/>
        <w:gridCol w:w="296"/>
        <w:gridCol w:w="298"/>
        <w:gridCol w:w="211"/>
        <w:gridCol w:w="976"/>
        <w:gridCol w:w="109"/>
        <w:gridCol w:w="109"/>
        <w:gridCol w:w="109"/>
        <w:gridCol w:w="109"/>
        <w:gridCol w:w="211"/>
        <w:gridCol w:w="976"/>
        <w:gridCol w:w="109"/>
        <w:gridCol w:w="109"/>
        <w:gridCol w:w="109"/>
        <w:gridCol w:w="109"/>
        <w:gridCol w:w="307"/>
        <w:gridCol w:w="309"/>
        <w:gridCol w:w="292"/>
        <w:gridCol w:w="109"/>
        <w:gridCol w:w="109"/>
        <w:gridCol w:w="109"/>
        <w:gridCol w:w="211"/>
        <w:gridCol w:w="976"/>
        <w:gridCol w:w="109"/>
        <w:gridCol w:w="109"/>
        <w:gridCol w:w="109"/>
        <w:gridCol w:w="109"/>
        <w:gridCol w:w="211"/>
        <w:gridCol w:w="976"/>
        <w:gridCol w:w="109"/>
        <w:gridCol w:w="109"/>
        <w:gridCol w:w="109"/>
        <w:gridCol w:w="109"/>
        <w:gridCol w:w="307"/>
        <w:gridCol w:w="309"/>
        <w:gridCol w:w="339"/>
      </w:tblGrid>
      <w:tr>
        <w:trPr/>
        <w:tc>
          <w:tcPr>
            <w:tcW w:w="11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41.4 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following table sets forth the composition of the Company’s portfolio of available-for-sale fixed maturity securities by rating as of </w:t>
      </w:r>
      <w:r>
        <w:rPr>
          <w:rFonts w:ascii="Times New Roman;sans-serif" w:hAnsi="Times New Roman;sans-serif"/>
          <w:b w:val="false"/>
          <w:color w:val="231F20"/>
          <w:sz w:val="20"/>
        </w:rPr>
        <w:t>March 31, 2025</w:t>
      </w:r>
      <w:r>
        <w:rPr>
          <w:rFonts w:ascii="Times New Roman;sans-serif" w:hAnsi="Times New Roman;sans-serif"/>
          <w:b w:val="false"/>
          <w:color w:val="000000"/>
          <w:sz w:val="20"/>
        </w:rPr>
        <w:t>:</w:t>
      </w:r>
    </w:p>
    <w:tbl>
      <w:tblPr>
        <w:tblW w:w="6234" w:type="dxa"/>
        <w:jc w:val="left"/>
        <w:tblInd w:w="0" w:type="dxa"/>
        <w:tblLayout w:type="fixed"/>
        <w:tblCellMar>
          <w:top w:w="28" w:type="dxa"/>
          <w:left w:w="28" w:type="dxa"/>
          <w:bottom w:w="28" w:type="dxa"/>
          <w:right w:w="28" w:type="dxa"/>
        </w:tblCellMar>
      </w:tblPr>
      <w:tblGrid>
        <w:gridCol w:w="1242"/>
        <w:gridCol w:w="1094"/>
        <w:gridCol w:w="1098"/>
        <w:gridCol w:w="211"/>
        <w:gridCol w:w="976"/>
        <w:gridCol w:w="109"/>
        <w:gridCol w:w="109"/>
        <w:gridCol w:w="109"/>
        <w:gridCol w:w="109"/>
        <w:gridCol w:w="307"/>
        <w:gridCol w:w="309"/>
        <w:gridCol w:w="561"/>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Standard &amp; Poor’s or Equivalent Designation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investments in fixed maturity securities summarized by contractual maturity are as follows:</w:t>
      </w:r>
    </w:p>
    <w:tbl>
      <w:tblPr>
        <w:tblW w:w="7804" w:type="dxa"/>
        <w:jc w:val="left"/>
        <w:tblInd w:w="0" w:type="dxa"/>
        <w:tblLayout w:type="fixed"/>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8"/>
        <w:gridCol w:w="308"/>
        <w:gridCol w:w="597"/>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 Value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28.4 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18.4 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10.1 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28.6 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12.5 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income and expense items netted to income of $355,000 and $179,000 for the three</w:t>
      </w:r>
      <w:r>
        <w:rPr>
          <w:color w:val="231F20"/>
        </w:rPr>
        <w:t xml:space="preserve"> </w:t>
      </w:r>
      <w:r>
        <w:rPr>
          <w:rFonts w:ascii="Times New Roman;sans-serif" w:hAnsi="Times New Roman;sans-serif"/>
          <w:b w:val="false"/>
          <w:color w:val="231F20"/>
          <w:sz w:val="20"/>
        </w:rPr>
        <w:t>months ended March 31, 2025 and 2024, respectively. N</w:t>
      </w:r>
      <w:r>
        <w:rPr>
          <w:rFonts w:ascii="Times New Roman;sans-serif" w:hAnsi="Times New Roman;sans-serif"/>
          <w:b w:val="false"/>
          <w:color w:val="000000"/>
          <w:sz w:val="20"/>
        </w:rPr>
        <w:t>on-operating expenses i</w:t>
      </w:r>
      <w:r>
        <w:rPr>
          <w:rFonts w:ascii="Times New Roman;sans-serif" w:hAnsi="Times New Roman;sans-serif"/>
          <w:b w:val="false"/>
          <w:color w:val="231F20"/>
          <w:sz w:val="20"/>
        </w:rPr>
        <w:t>ncluded in the respective totals were</w:t>
      </w:r>
      <w:r>
        <w:rPr>
          <w:color w:val="000000"/>
        </w:rPr>
        <w:t xml:space="preserve"> </w:t>
      </w:r>
      <w:r>
        <w:rPr>
          <w:rFonts w:ascii="Times New Roman;sans-serif" w:hAnsi="Times New Roman;sans-serif"/>
          <w:b w:val="false"/>
          <w:color w:val="000000"/>
          <w:sz w:val="20"/>
        </w:rPr>
        <w:t>$563,000 and $732,000</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 xml:space="preserve">primarily consisting of legal and other professional fees and other expenses related to various strategic initiatives and litigation that the Company is involved in. </w:t>
      </w:r>
      <w:r>
        <w:rPr>
          <w:rFonts w:ascii="Times New Roman;sans-serif" w:hAnsi="Times New Roman;sans-serif"/>
          <w:b w:val="false"/>
          <w:color w:val="231F20"/>
          <w:sz w:val="20"/>
        </w:rPr>
        <w:t>T</w:t>
      </w:r>
      <w:r>
        <w:rPr>
          <w:rFonts w:ascii="Times New Roman;sans-serif" w:hAnsi="Times New Roman;sans-serif"/>
          <w:b w:val="false"/>
          <w:color w:val="000000"/>
          <w:sz w:val="20"/>
        </w:rPr>
        <w:t>he non-operating expenses were offset by $835,000 and $709,000 of broker incentive rebates in the Excess and Surplus Lines segment, as well as other miscellaneous income in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Interest expense was $5.5 million and $6.5 million for the three</w:t>
      </w:r>
      <w:r>
        <w:rPr>
          <w:color w:val="231F20"/>
        </w:rPr>
        <w:t xml:space="preserve"> </w:t>
      </w:r>
      <w:r>
        <w:rPr>
          <w:rFonts w:ascii="Times New Roman;sans-serif" w:hAnsi="Times New Roman;sans-serif"/>
          <w:b w:val="false"/>
          <w:color w:val="231F20"/>
          <w:sz w:val="20"/>
        </w:rPr>
        <w:t>months ended March 31, 2025 and 2024, respectively.</w:t>
      </w:r>
      <w:r>
        <w:rPr>
          <w:color w:val="000000"/>
        </w:rPr>
        <w:t xml:space="preserve"> </w:t>
      </w:r>
      <w:r>
        <w:rPr>
          <w:rFonts w:ascii="Times New Roman;sans-serif" w:hAnsi="Times New Roman;sans-serif"/>
          <w:b w:val="false"/>
          <w:color w:val="000000"/>
          <w:sz w:val="20"/>
        </w:rPr>
        <w:t>See “—Liquidity and Capital Resources—Sources and Uses of Funds” for more information regarding our senior bank debt facilities and trust preferred securities.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Intangibles and Impairment of Intangible Assets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recorded $91,000 of amortization of intangible assets in each of the three months ended </w:t>
      </w:r>
      <w:r>
        <w:rPr>
          <w:rFonts w:ascii="Times New Roman;sans-serif" w:hAnsi="Times New Roman;sans-serif"/>
          <w:b w:val="false"/>
          <w:color w:val="231F20"/>
          <w:sz w:val="20"/>
        </w:rPr>
        <w:t>March 31, 2025</w:t>
      </w:r>
      <w:r>
        <w:rPr>
          <w:color w:val="000000"/>
        </w:rPr>
        <w:t xml:space="preserve"> </w:t>
      </w:r>
      <w:r>
        <w:rPr>
          <w:rFonts w:ascii="Times New Roman;sans-serif" w:hAnsi="Times New Roman;sans-serif"/>
          <w:b w:val="false"/>
          <w:color w:val="000000"/>
          <w:sz w:val="20"/>
        </w:rPr>
        <w:t>and 2024.</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from continuing operations reported by country and the respective tax rates imposed by each tax jurisdiction. Statutory tax rates are 0% and 21% for Bermuda and the U.S. For the three months ended March 31, 2025 and 2024, our effective tax rate on income from continuing operations was 31.4% and 28.7%, respectively. The Company does not receive a U.S. tax deduction for losses at JRG Holdings, our only Bermuda entity. JRG Holdings had losses in both periods primarily due to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indicator of reserve strength that we monitor closely is the percentage of our gross and net loss reserves that are comprised of incurred but not reported (“IBNR”) reserves.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gross reserve for losses and loss adjustment expenses at March 31, 2025 was $3,081.5 million. Of this amount, 73.4% relates to amounts that are IBNR. This amount was 73.3% at December 31, 2024. The Company’s gross reserves for losses and loss adjustment expenses by segment are summarized as follows:</w:t>
      </w:r>
    </w:p>
    <w:tbl>
      <w:tblPr>
        <w:tblW w:w="695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97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Reserves at March 31, 2025</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3,081,540 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amount of net reserves (prior to the $1.5 million allowance for uncollectible reinsurance recoverables) of $1,095.8 million that related to IBNR was 63.9%. This amount was 63.5% at December 31, 2024. The Company’s net reserves for losses and loss adjustment expenses by segment are summarized as follows:</w:t>
      </w:r>
    </w:p>
    <w:tbl>
      <w:tblPr>
        <w:tblW w:w="680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82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Reserves at March 31, 2025</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sources of funds consist primarily of premiums written, investment income, reinsurance recoveries, proceeds from sales and redemptions of investments, borrowings on our credit facilities, and the issuance of common shares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contract means that substantial and unpredictable payments may need to be made within relatively short periods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7913" w:type="dxa"/>
        <w:jc w:val="left"/>
        <w:tblInd w:w="0" w:type="dxa"/>
        <w:tblLayout w:type="fixed"/>
        <w:tblCellMar>
          <w:top w:w="28" w:type="dxa"/>
          <w:left w:w="28" w:type="dxa"/>
          <w:bottom w:w="28" w:type="dxa"/>
          <w:right w:w="28" w:type="dxa"/>
        </w:tblCellMar>
      </w:tblPr>
      <w:tblGrid>
        <w:gridCol w:w="1950"/>
        <w:gridCol w:w="1712"/>
        <w:gridCol w:w="1722"/>
        <w:gridCol w:w="211"/>
        <w:gridCol w:w="796"/>
        <w:gridCol w:w="109"/>
        <w:gridCol w:w="109"/>
        <w:gridCol w:w="109"/>
        <w:gridCol w:w="109"/>
        <w:gridCol w:w="211"/>
        <w:gridCol w:w="721"/>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provided by (used in):</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 (operating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excluding restricted cash equivalents was $51.8 million for the three months ended March 31, 2025. This compares to cash provided by operating activities excluding restricted cash equivalents of $23.1 million for the three months ended March 31, 2024 (including cash provided by operating activities from continuing operations excluding restricted cash equivalents of $47.5 million and cash used in operating activities of discontinued operations of $24.4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of $53.0 million for the three months ended March 31, 2025 reflects efforts to enhance the yield in our investment portfolio by investing available cash and cash equivalents into higher yielding investments. Cash provided by investing activities of $47.5 million for the three months ended March 31, 2024 mostly reflects the run-off of JRG Re and the withdrawal of invested assets to fund claims and operating expenses. Cash and cash equivalents excluding restricted cash equivalents comprised 14.7% and 13.9% of total cash and invested assets at March 31, 2025 and 2024, respectively. Cash used in investing activities from continuing operations was $10.9 million and cash provided by investing activities of discontinued operations was $58.4 million in the prior year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of $21.9 million for the three months ended March 31, 2025 includes a $25.0 million borrowing under the 2013 Facility (as defined below), $600,000 of dividends paid to common shareholders, $2.0 million of dividends paid on the Series A Preferred Shares, and $545,000 of payroll taxes withheld and remitted on net settlement of RSUs. Cash used in financing activities of $5.5 million for the three months ended March 31, 2024 includes $2.0 million of dividends paid to common shareholders, $2.6 million of dividends paid on the Series A Preferred Shares, and $824,000 of payroll taxes withheld and remitted on net settlement of RSUs.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activity in restricted cash equivalents for the three months ended March 31, 2025 and 2024 relates to a former insured, per the terms of a collateral trust. See </w:t>
      </w:r>
      <w:r>
        <w:rPr>
          <w:rFonts w:ascii="Times New Roman;sans-serif" w:hAnsi="Times New Roman;sans-serif"/>
          <w:b w:val="false"/>
          <w:i/>
          <w:color w:val="000000"/>
          <w:sz w:val="20"/>
        </w:rPr>
        <w:t xml:space="preserve">Amounts Recoverable from an Indemnifying Party and Reinsurer on Legacy Commercial Auto Book </w:t>
      </w:r>
      <w:r>
        <w:rPr>
          <w:rFonts w:ascii="Times New Roman;sans-serif" w:hAnsi="Times New Roman;sans-serif"/>
          <w:b w:val="false"/>
          <w:color w:val="000000"/>
          <w:sz w:val="20"/>
        </w:rPr>
        <w:t>below.</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Business—U.S. Insurance Regulation—State Regulation” for additional information. The maximum amount of dividends available to the U.S. holding company from our U.S. insurance subsidiaries during 2025 without regulatory approval is $64.3 million.</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Series A Preferred Shares are entitled to a dividend at the rate of 7% of the $1,000 liquidation preference per share (the “Liquidation Preference”) per annum, paid in cash, in-kind in common shares or in Series A Preferred Shares, at our election. On October 1, 2029, and each five-year anniversary thereafter, the dividend rate will reset to a rate equal to the five-year U.S. treasury rate plus 5.2%, provided that the dividend rate shall not exceed 8.0%. Dividends accrue and are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quarterly. Cash dividends of $2.0 million and $2.6 million were paid in the three months ended March 31, 2025 and 2024,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Bermuda holding company had $24.6 million of cash and cash equivalents. The U.S. holding company had $15.9 million of cash and invested assets, comprised of cash and cash equivalents of $12.3 million, equities of $3.2 million and other invested assets of $464,000, which are not subject to regulatory restrictions. Additionally, our U.K. intermediate holding company had no invested assets and cash of less than ten thousand dollars at March 31, 2025.</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a $257.5 million senior revolving credit facility (as amended or amended and restated, the “2013 Facility”). The 2013 Facility was comprised of the following at March 31, 2025:</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$212.5 million unsecured revolving facility to meet the working capital needs of the Company. All unpaid principal on the revolver is due at maturity. Interest accrues quarterly and is payable in arrears, currently at 1-month SOFR (the Company, per the terms of the credit agreement, can elect between one, three, or six month interest periods) plus a 0.1% SOFR index adjustment and a SOFR margin (1.75% at March 31, 2025), which is subject to change according to terms in the credit agreement. At March 31, 2025, the Company had a drawn balance of $210.8 million outstanding on the unsecured revolver.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 $45.0 million secured revolving facility to issue letters of credit for the benefit of third-party reinsureds. At </w:t>
      </w:r>
      <w:r>
        <w:rPr>
          <w:rFonts w:ascii="Times New Roman;sans-serif" w:hAnsi="Times New Roman;sans-serif"/>
          <w:b w:val="false"/>
          <w:color w:val="231F20"/>
          <w:sz w:val="20"/>
        </w:rPr>
        <w:t>March 31, 2025</w:t>
      </w:r>
      <w:r>
        <w:rPr>
          <w:rFonts w:ascii="Times New Roman;sans-serif" w:hAnsi="Times New Roman;sans-serif"/>
          <w:b w:val="false"/>
          <w:color w:val="000000"/>
          <w:sz w:val="20"/>
        </w:rPr>
        <w:t>, the Company had $1.3 million of letters of credit issued under the secured facility, all of which are collateralized by a back-to-back letter of credit issued by Comerica Bank on behalf of JRG 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entered into a Third Amended and Restated Credit Agreement for the 2013 Facility which, among other things, extended the maturity date of such facility until July 7, 2026 and increased the applicable interest rate and letter of credit fees. The 2013 Facility has been amended from time to time, including on April 16, 2024 when the 2013 Facility was amended in connection with the closing of the sale of JRG Re by the Company to (i) release JRG Re as a borrower and release all collateral pledged by JRG Re thereunder, and (ii) decrease the secured revolving facility commitment from $102.5 million to $45.0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2013 Facility provides for an accordion feature that permits the Company to request that one or more lenders (without the consent of the other lenders) or one or more financial institutions which were not previously party to the 2013 Facility (with the consent of the administrative agent) provide it with increases in the secured or unsecured revolving credit facilities of up to an aggregate of $100.0 million. The Company’s ability to request such increases in the revolving credit facility is subject to its compliance with customary conditions set forth in the 2013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2013 Facility contains certain financial and other covenants (including minimum net worth, maximum ratio of total adjusted debt outstanding to total capitalization, and financial strength ratings) with which the Company was in compliance at March 31, 2025.</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Debt and Trust Preferred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March 31, 2025, and which, among other things, restrict our ability to issue senior indebtedness secured by our U.S. holding company’s common stock or its subsidiaries’ capital stock or to issue shares of its subsidiaries’ capital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March 31, 2025 (including the Company’s repurchases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4.3%</w:t>
            </w:r>
          </w:p>
        </w:tc>
      </w:tr>
    </w:tbl>
    <w:p>
      <w:pPr>
        <w:pStyle w:val="TextBody"/>
        <w:bidi w:val="0"/>
        <w:spacing w:lineRule="auto" w:line="288" w:before="10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our option.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junior subordinated debt contains certain covenants with which we are in compliance as of March 31, 2025.</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Company's leverage ratio was 28.6% and 26.6%, respectively. The leverage ratio is defined in our 2013 Facility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James River Insurance has access to certain credit products including advances through its membership in the Federal Home Loan Bank. Any advances would be in the form of collateralized short-term borrowings not to exceed 30% of the Company's total assets.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Ceded Reinsurance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 Company also utilizes facultative reinsurance to reduce the amount of exposure it retains on individual accounts according to its guidelines for accepting risk across various industry segments, locations and types of exposure. For the three months ended March 31, 2025 and 2024, our net premium retention was 43.5% and 41.8%,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Excess and Surplus Lines segment’s ceded reinsurance in place as of March 31, 2025:</w:t>
      </w:r>
    </w:p>
    <w:tbl>
      <w:tblPr>
        <w:tblW w:w="5170"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933"/>
        <w:gridCol w:w="933"/>
        <w:gridCol w:w="1328"/>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 Retention</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$3.2 million per occurrence.</w:t>
            </w:r>
            <w:r>
              <w:rPr>
                <w:rFonts w:ascii="Times New Roman;sans-serif" w:hAnsi="Times New Roman;sans-serif"/>
                <w:b w:val="false"/>
                <w:color w:val="000000"/>
                <w:sz w:val="13"/>
              </w:rPr>
              <w:t>(1)</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$1.38 million per occurrence.</w:t>
            </w:r>
            <w:r>
              <w:rPr>
                <w:rFonts w:ascii="Times New Roman;sans-serif" w:hAnsi="Times New Roman;sans-serif"/>
                <w:b w:val="false"/>
                <w:color w:val="000000"/>
                <w:sz w:val="13"/>
              </w:rPr>
              <w:t>(2)</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$1.98 million per occurrence.</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$5.0 million per risk.</w:t>
            </w:r>
            <w:r>
              <w:rPr>
                <w:rFonts w:ascii="Times New Roman;sans-serif" w:hAnsi="Times New Roman;sans-serif"/>
                <w:b w:val="false"/>
                <w:color w:val="000000"/>
                <w:sz w:val="13"/>
              </w:rPr>
              <w:t>(3)</w:t>
            </w:r>
          </w:p>
        </w:tc>
      </w:tr>
    </w:tbl>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Excluding Excess Casualty.</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Total exposure to any one claim is generally $694,000.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(3)    The property catastrophe reinsurance treaty has a limit of $20.0 million per event with one reinstatement.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 our Excess and Surplus Lines segment, a specialty casualty treaty providing $9.0 million in excess of $2.0 million coverage is subject to reinstatement premiums for treaty years spanning July 1, 2017 through July 1,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property catastrophe modeling of our Excess and Surplus Lines and Specialty Admitted segments, it would take an event greater than the 1 in 1,000 year PML to exhaust our $20.0 million property catastrophe reinsurance. In the event of a catastrophe loss exhausting our $20.0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Commercial Auto LPT with Aleka reinsures substantially all of the Excess and Surplus Lines segment’s legacy portfolio of commercial auto policies previously issued to Rasier. See “</w:t>
      </w:r>
      <w:r>
        <w:rPr>
          <w:rFonts w:ascii="Times New Roman;sans-serif" w:hAnsi="Times New Roman;sans-serif"/>
          <w:b w:val="false"/>
          <w:i/>
          <w:color w:val="000000"/>
          <w:sz w:val="20"/>
        </w:rPr>
        <w:t>Amounts Recoverable from an Indemnifying Party and Reinsurer on Legacy Commercial Auto Book</w:t>
      </w:r>
      <w:r>
        <w:rPr>
          <w:color w:val="000000"/>
        </w:rPr>
        <w:t xml:space="preserve">” </w:t>
      </w:r>
      <w:r>
        <w:rPr>
          <w:rFonts w:ascii="Times New Roman;sans-serif" w:hAnsi="Times New Roman;sans-serif"/>
          <w:b w:val="false"/>
          <w:color w:val="000000"/>
          <w:sz w:val="20"/>
        </w:rPr>
        <w:t>below for further information on this reinsurance agreement.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E&amp;S ADC with State National applies to James River’s Excess &amp; Surplus Lines segment casualty portfolio losses attaching to premium earned during 2010-2023 (both years inclusive), excluding, among others, losses related to commercial auto policies issued to a former large insured or its affiliates. See “</w:t>
      </w:r>
      <w:r>
        <w:rPr>
          <w:rFonts w:ascii="Times New Roman;sans-serif" w:hAnsi="Times New Roman;sans-serif"/>
          <w:b w:val="false"/>
          <w:i/>
          <w:color w:val="000000"/>
          <w:sz w:val="20"/>
        </w:rPr>
        <w:t>Combined Loss Portfolio Transfer and Adverse Development Cover</w:t>
      </w:r>
      <w:r>
        <w:rPr>
          <w:color w:val="000000"/>
        </w:rPr>
        <w:t xml:space="preserve">” </w:t>
      </w:r>
      <w:r>
        <w:rPr>
          <w:rFonts w:ascii="Times New Roman;sans-serif" w:hAnsi="Times New Roman;sans-serif"/>
          <w:b w:val="false"/>
          <w:color w:val="000000"/>
          <w:sz w:val="20"/>
        </w:rPr>
        <w:t>above for further information on this reinsurance agreement.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E&amp;S Top Up ADC with Enstar, through its subsidiary Cavello Bay Reinsurance Limited, reinsures 100% of the losses associated with James River’s Excess &amp; Surplus Lines segment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 See “</w:t>
      </w:r>
      <w:r>
        <w:rPr>
          <w:rFonts w:ascii="Times New Roman;sans-serif" w:hAnsi="Times New Roman;sans-serif"/>
          <w:b w:val="false"/>
          <w:i/>
          <w:color w:val="000000"/>
          <w:sz w:val="20"/>
        </w:rPr>
        <w:t>Enstar Strategic Partnership</w:t>
      </w:r>
      <w:r>
        <w:rPr>
          <w:color w:val="000000"/>
        </w:rPr>
        <w:t xml:space="preserve">” </w:t>
      </w:r>
      <w:r>
        <w:rPr>
          <w:rFonts w:ascii="Times New Roman;sans-serif" w:hAnsi="Times New Roman;sans-serif"/>
          <w:b w:val="false"/>
          <w:color w:val="000000"/>
          <w:sz w:val="20"/>
        </w:rPr>
        <w:t>above for further information on this reinsurance agreement.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Specialty Admitted Insurance segment’s ceded reinsurance in place as of March 31, 2025:</w:t>
      </w:r>
    </w:p>
    <w:tbl>
      <w:tblPr>
        <w:tblW w:w="10205" w:type="dxa"/>
        <w:jc w:val="left"/>
        <w:tblInd w:w="0" w:type="dxa"/>
        <w:tblLayout w:type="fixed"/>
        <w:tblCellMar>
          <w:top w:w="28" w:type="dxa"/>
          <w:left w:w="28" w:type="dxa"/>
          <w:bottom w:w="28" w:type="dxa"/>
          <w:right w:w="28" w:type="dxa"/>
        </w:tblCellMar>
      </w:tblPr>
      <w:tblGrid>
        <w:gridCol w:w="836"/>
        <w:gridCol w:w="736"/>
        <w:gridCol w:w="731"/>
        <w:gridCol w:w="109"/>
        <w:gridCol w:w="109"/>
        <w:gridCol w:w="109"/>
        <w:gridCol w:w="2206"/>
        <w:gridCol w:w="2206"/>
        <w:gridCol w:w="3163"/>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w:t>
            </w:r>
          </w:p>
        </w:tc>
      </w:tr>
      <w:tr>
        <w:trPr/>
        <w:tc>
          <w:tcPr>
            <w:tcW w:w="2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62.5%-100% of limits up to $1.5 million liability and $1.5 million physical damage per occurrence.</w:t>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Liability &amp; Professional Liability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62.5%-100% of limits up to $2.0 million per occurrence.</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Umbrella and Excess Casualty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at least 85% of limits up to $10.0 million per occurrence, and 82% of excess of loss coverage for $5.0 million in excess of $10.0 million.</w:t>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within Package - Programs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$40.0 million per risk.</w:t>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82.5% of limits up to $25 million liability, $5.0 million hull, and $5.0 million spares per occurrence, each aircraft; and excess of loss coverage for up to $7.7 million excess of $175,000 of our 17.5% share of the quota share each occurrence.</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Specialty Admitted Insurance segment purchases reinsurance for at least 62.5% of the exposed limits on specialty admitted property-casualty business. While the segment focuses on casualty business, incidental property risk is incurred in the fronting and program business. The segment is covered for $20.0 million in excess of $5.0 million per occurrence to manage its property exposure to an approximate 1 in 1,000 year PML.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individual risk workers' compensation business, now in runoff, we purchased $29.5 million excess of $500,000 per occurrence. This coverage expired on December 31, 2023.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aggregate, we believe our pre-tax group-wide PML from a 1 in 1,000 year property catastrophe event would not exceed 2.5% of shareholders’ equity, inclusive of reinstatement premiums payable.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March 31, 2025, the allowance for credit losses on reinsurance recoverables was $1.5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we had reinsurance recoverables on unpaid losses of $1,984.3 million (net of a $1.5 million allowance for credit losses) and reinsurance recoverables on paid losses of $127.6 million, and all material recoverable amounts were from companies with A.M. Best ratings of “A-" (Excellent) or better, or are collateralized by the reinsurer for our benefit through letters of credit or funds on deposit in trust accounts.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equal to 102% of James River's estimate of the respective party's obligations in trusts pursuant to the terms of the Indemnity Agreements and the Commercial Auto LPT, respectively. At March 31, 2025, the total balance of collateral securing Rasier's obligations under the Indemnity Agreements was $66.1 million and Aleka's obligations under the Commercial Auto LPT was $30.6 million. At March 31, 2025, the total reinsurance recoverables under the Commercial Auto LPT was $29.2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Ratings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 Best Company financial strength rating for our U.S.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A- rating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Series A Preferred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rate of 7% of the Liquidation Preference per annum, which may be paid in cash, in-kind in common shares or in Series A Preferred Shares, at the Company’s election.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2024, the Company amended the Certificate of Designations setting forth the terms of the Series A Preferred Shares to, among other things, convert 37,500 outstanding Series A Preferred Shares with a liquidation value of $37.5 million to common shares at a per share price of $6.40. Following the conversion, 112,500 Series A Preferred Shares remain outstanding.</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EQUITY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45,644,318 at December 31, 2024 to 45,892,706 at March 31, 2025, reflecting 248,388 common shares issued in the three months ended March 31, 2025 related to vesting of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 Based 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$2.7 million of share based compensation expense in each of the three months ended March 31, 2025 and 2024, respectively. As of March 31, 2025, the Company had $8.5 million of unrecognized share based compensation expense expected to be charged to earnings over a weighted-average period of 2.2 years.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78" w:type="dxa"/>
        <w:jc w:val="left"/>
        <w:tblInd w:w="0" w:type="dxa"/>
        <w:tblLayout w:type="fixed"/>
        <w:tblCellMar>
          <w:top w:w="28" w:type="dxa"/>
          <w:left w:w="28" w:type="dxa"/>
          <w:bottom w:w="28" w:type="dxa"/>
          <w:right w:w="28" w:type="dxa"/>
        </w:tblCellMar>
      </w:tblPr>
      <w:tblGrid>
        <w:gridCol w:w="939"/>
        <w:gridCol w:w="825"/>
        <w:gridCol w:w="830"/>
        <w:gridCol w:w="488"/>
        <w:gridCol w:w="488"/>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(264,088)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1,848,507 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985,864 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three-year vesting period in the case of time-vest RSUs and cliff vest at the end of a three-year performance period in the case of PRSUs. RSUs granted to non-employee directors generally have a one year vesting period. The RSUs granted in 2025 and 2024 include 620,108 and 231,492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pStyle w:val="TextBody"/>
        <w:bidi w:val="0"/>
        <w:spacing w:lineRule="auto" w:line="288" w:before="80" w:after="120"/>
        <w:jc w:val="both"/>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74,390 options outstanding with an average weighted exercise price of $42.17. The options lapsed in the three months ended March 31, 2024, after which, there have been no options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Underwriting Performance Ratios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tbl>
      <w:tblPr>
        <w:tblW w:w="8002" w:type="dxa"/>
        <w:jc w:val="left"/>
        <w:tblInd w:w="0" w:type="dxa"/>
        <w:tblLayout w:type="fixed"/>
        <w:tblCellMar>
          <w:top w:w="28" w:type="dxa"/>
          <w:left w:w="28" w:type="dxa"/>
          <w:bottom w:w="28" w:type="dxa"/>
          <w:right w:w="28" w:type="dxa"/>
        </w:tblCellMar>
      </w:tblPr>
      <w:tblGrid>
        <w:gridCol w:w="1811"/>
        <w:gridCol w:w="1596"/>
        <w:gridCol w:w="1603"/>
        <w:gridCol w:w="109"/>
        <w:gridCol w:w="109"/>
        <w:gridCol w:w="247"/>
        <w:gridCol w:w="247"/>
        <w:gridCol w:w="255"/>
        <w:gridCol w:w="256"/>
        <w:gridCol w:w="615"/>
        <w:gridCol w:w="109"/>
        <w:gridCol w:w="109"/>
        <w:gridCol w:w="109"/>
        <w:gridCol w:w="255"/>
        <w:gridCol w:w="256"/>
        <w:gridCol w:w="316"/>
      </w:tblGrid>
      <w:tr>
        <w:trPr/>
        <w:tc>
          <w:tcPr>
            <w:tcW w:w="181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4" w:type="dxa"/>
            <w:gridSpan w:val="6"/>
            <w:tcBorders/>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See “Key Metrics” above for descriptions of why management believes the following Non-GAAP measures provide useful information about our financial condition and results of operation.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Underwriting Profit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of the operating segments by individual segment to consolidated income from continuing operations before income taxes:</w:t>
      </w:r>
    </w:p>
    <w:tbl>
      <w:tblPr>
        <w:tblW w:w="8336" w:type="dxa"/>
        <w:jc w:val="left"/>
        <w:tblInd w:w="0" w:type="dxa"/>
        <w:tblLayout w:type="fixed"/>
        <w:tblCellMar>
          <w:top w:w="28" w:type="dxa"/>
          <w:left w:w="28" w:type="dxa"/>
          <w:bottom w:w="28" w:type="dxa"/>
          <w:right w:w="28" w:type="dxa"/>
        </w:tblCellMar>
      </w:tblPr>
      <w:tblGrid>
        <w:gridCol w:w="1848"/>
        <w:gridCol w:w="1622"/>
        <w:gridCol w:w="1630"/>
        <w:gridCol w:w="109"/>
        <w:gridCol w:w="109"/>
        <w:gridCol w:w="139"/>
        <w:gridCol w:w="139"/>
        <w:gridCol w:w="269"/>
        <w:gridCol w:w="919"/>
        <w:gridCol w:w="139"/>
        <w:gridCol w:w="109"/>
        <w:gridCol w:w="109"/>
        <w:gridCol w:w="109"/>
        <w:gridCol w:w="211"/>
        <w:gridCol w:w="721"/>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(losses)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(1)Included in underwriting results for the three months ended March 31, 2025 and 2024 is gross fee income of $4.3 million and $5.3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Adjusted Net Operating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should not be viewed as a substitute for net income calculated in accordance with GAAP, and our definition of adjusted net operating income may not be comparable to that of other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available to common shareholders reconciles to our adjusted net operating income as follows:</w:t>
      </w:r>
    </w:p>
    <w:tbl>
      <w:tblPr>
        <w:tblW w:w="10169" w:type="dxa"/>
        <w:jc w:val="left"/>
        <w:tblInd w:w="0" w:type="dxa"/>
        <w:tblLayout w:type="fixed"/>
        <w:tblCellMar>
          <w:top w:w="28" w:type="dxa"/>
          <w:left w:w="28" w:type="dxa"/>
          <w:bottom w:w="28" w:type="dxa"/>
          <w:right w:w="28" w:type="dxa"/>
        </w:tblCellMar>
      </w:tblPr>
      <w:tblGrid>
        <w:gridCol w:w="1840"/>
        <w:gridCol w:w="1618"/>
        <w:gridCol w:w="1626"/>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losses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Tangible Equity (per Share) and Tangible Common Equity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Tangible equity is defined as shareholders' equity plus mezzanine Series A Preferred Shares and the deferred retroactive reinsurance gain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 Tangible common equity is defined as shareholders' equity plus the deferred retroactive reinsurance gain less goodwill and intangible assets, net of amortization. Tangible common equity per share represents tangible common equity divided by the total common shares outstanding. Our definitions of tangible equity, tangible equity per share, tangible common equity and tangible common equity per share may not be comparable to that of other companies, and they should not be viewed as a substitute for shareholders’ equity and shareholders’ equity per share calculated in accordance with GAAP.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shareholders’ equity to tangible common equity as of March 31, 2025, December 31, 2024, and March 31, 2024:</w:t>
      </w:r>
    </w:p>
    <w:tbl>
      <w:tblPr>
        <w:tblW w:w="10205" w:type="dxa"/>
        <w:jc w:val="left"/>
        <w:tblInd w:w="0" w:type="dxa"/>
        <w:tblLayout w:type="fixed"/>
        <w:tblCellMar>
          <w:top w:w="28" w:type="dxa"/>
          <w:left w:w="28" w:type="dxa"/>
          <w:bottom w:w="28" w:type="dxa"/>
          <w:right w:w="28" w:type="dxa"/>
        </w:tblCellMar>
      </w:tblPr>
      <w:tblGrid>
        <w:gridCol w:w="2068"/>
        <w:gridCol w:w="1751"/>
        <w:gridCol w:w="1764"/>
        <w:gridCol w:w="232"/>
        <w:gridCol w:w="895"/>
        <w:gridCol w:w="116"/>
        <w:gridCol w:w="109"/>
        <w:gridCol w:w="109"/>
        <w:gridCol w:w="109"/>
        <w:gridCol w:w="271"/>
        <w:gridCol w:w="1026"/>
        <w:gridCol w:w="134"/>
        <w:gridCol w:w="109"/>
        <w:gridCol w:w="109"/>
        <w:gridCol w:w="109"/>
        <w:gridCol w:w="231"/>
        <w:gridCol w:w="893"/>
        <w:gridCol w:w="170"/>
      </w:tblGrid>
      <w:tr>
        <w:trPr/>
        <w:tc>
          <w:tcPr>
            <w:tcW w:w="2068"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 except share amounts)</w:t>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Series A redeemable preferred shares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Deferred reinsurance gain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Intangible assets,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equity</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437,719 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486,613 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Series A redeemable preferred shares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common equity</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326,332 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304,604 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341,715 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45,892,706 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45,644,318 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37,822,340 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from assumed conversion of Series A Preferred Shares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13,521,635 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13,521,635 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6,750,567 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after assumed conversion of Series A Preferred Shares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59,414,341 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59,165,953 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44,572,907 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per share:</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equity</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common equity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from the information provided in Item 7A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quarterly report on Form 10-Q, our management carried out an evaluation, under the supervision and with the participation of our CEO and CFO, as of March 31, 2025,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2025.</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our quarter ended March 31, 2025 that have materially affected, or are reasonably likely to materially affect, our internal control over financial reporting.</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with respect to this item can be found under “Contingent Liabilities - Legal Proceedings” in note 8 of the notes to the unaudited consolidated financial statements contained in this quarterly report and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in the quarter ended March 31, 2025 from those disclosed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6"/>
        <w:gridCol w:w="258"/>
        <w:gridCol w:w="109"/>
        <w:gridCol w:w="109"/>
        <w:gridCol w:w="109"/>
        <w:gridCol w:w="2713"/>
        <w:gridCol w:w="2618"/>
        <w:gridCol w:w="3743"/>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1q25jrvrex311.htm">
              <w:r>
                <w:rPr>
                  <w:rStyle w:val="InternetLink"/>
                  <w:rFonts w:ascii="Times New Roman;sans-serif" w:hAnsi="Times New Roman;sans-serif"/>
                  <w:b w:val="false"/>
                  <w:color w:val="0000FF"/>
                  <w:sz w:val="20"/>
                  <w:u w:val="single"/>
                </w:rPr>
                <w:t>Chief Executive Officer Certification pursuant to Rule 13a-14(a)/15d-14(a)</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5jrvrex312.htm">
              <w:r>
                <w:rPr>
                  <w:rStyle w:val="InternetLink"/>
                  <w:rFonts w:ascii="Times New Roman;sans-serif" w:hAnsi="Times New Roman;sans-serif"/>
                  <w:b w:val="false"/>
                  <w:color w:val="0000FF"/>
                  <w:sz w:val="20"/>
                  <w:u w:val="single"/>
                </w:rPr>
                <w:t>Chief Financial Officer Certification pursuant to Rule 13a-14(a)/15d-14(a)</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q25jrvrex32.htm">
              <w:r>
                <w:rPr>
                  <w:rStyle w:val="InternetLink"/>
                  <w:rFonts w:ascii="Times New Roman;sans-serif" w:hAnsi="Times New Roman;sans-serif"/>
                  <w:b w:val="false"/>
                  <w:color w:val="0000FF"/>
                  <w:sz w:val="20"/>
                  <w:u w:val="single"/>
                </w:rPr>
                <w:t>Chief Executive Officer and Chief Financial Officer Certification pursuant to 18 U.S.C. Section 1350, as adopted pursuant to Section 906 of the Sarbanes-Oxley Act of 2002</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58b8cf7e46d4fe6a61d648de5ff77f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6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450"/>
        <w:gridCol w:w="450"/>
        <w:gridCol w:w="450"/>
        <w:gridCol w:w="909"/>
        <w:gridCol w:w="909"/>
        <w:gridCol w:w="13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Frank N. D’Orazio,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2025 </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886"/>
        <w:gridCol w:w="776"/>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Sarah C. Doran,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2025 </w:t>
      </w:r>
    </w:p>
    <w:p>
      <w:pPr>
        <w:pStyle w:val="TextBody"/>
        <w:bidi w:val="0"/>
        <w:spacing w:before="100" w:after="283"/>
        <w:jc w:val="left"/>
        <w:rPr/>
      </w:pPr>
      <w:r>
        <w:rPr/>
      </w:r>
    </w:p>
    <w:tbl>
      <w:tblPr>
        <w:tblW w:w="2757" w:type="dxa"/>
        <w:jc w:val="center"/>
        <w:tblInd w:w="0" w:type="dxa"/>
        <w:tblLayout w:type="fixed"/>
        <w:tblCellMar>
          <w:top w:w="28" w:type="dxa"/>
          <w:left w:w="28" w:type="dxa"/>
          <w:bottom w:w="28" w:type="dxa"/>
          <w:right w:w="28" w:type="dxa"/>
        </w:tblCellMar>
      </w:tblPr>
      <w:tblGrid>
        <w:gridCol w:w="863"/>
        <w:gridCol w:w="759"/>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James River Group Holdings, Ltd. (the “Company”) on Form 10-Q for the period ended March 31, 2025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bidi w:val="0"/>
        <w:spacing w:lineRule="auto" w:line="288" w:before="120" w:after="12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32036</Words>
  <Characters>178166</Characters>
  <CharactersWithSpaces>208419</CharactersWithSpaces>
  <Paragraphs>4162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