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012205.xml.htm"/>
      <w:bookmarkStart w:id="1" w:name="kswkform4_17780122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Sutherland Todd Randell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JAMES RIVER GROUP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1414 RALEIGH ROAD, 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James River Group Holdings, Inc.</w:t>
              </w:r>
            </w:hyperlink>
            <w:r>
              <w:rPr/>
              <w:t xml:space="preserve"> [ </w:t>
            </w:r>
            <w:r>
              <w:rPr>
                <w:rFonts w:ascii="Times;serif" w:hAnsi="Times;serif"/>
                <w:color w:val="0000FF"/>
                <w:sz w:val="24"/>
                <w:shd w:fill="FFFFFF" w:val="clear"/>
              </w:rPr>
              <w:t>JRVR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E&amp;S Lines Segment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937</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6.13</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95,293</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disposed of were withheld by James River Group Holdings, Inc. for payment of the tax liability incident to the vesting of 3,111 restricted share units on May 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L. Miller, Attorney-in-fact for Todd R. Sutherland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werofattorneysutherlan.htm"/>
      <w:bookmarkStart w:id="3" w:name="kspowerofattorneysutherla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with respect to the matters described herein, hereby constitutes and appoints Sarah C. Doran, Jeanette L. Miller and Jennifer L. Singleton, each of whom may act individually, as my true and lawful attorney-in-fact to: (1) Act for and on behalf of the undersigned as account administrators to manage the undersigned’s EDGAR account on an EDGAR filer management dashboard; (2) Execute for and on behalf of the undersigned all forms or documents (collectively, the “Forms”) to be filed under the Securities Exchange Act of 1934, as amended, and the rules thereunder (collectively, the “Exchange Act”) with respect to transactions by the undersigned in securities issued by James River Group Holdings, Inc. (the “Company”), including without limitation any Forms 3, 4 or 5, Form 144 or Schedule 13D, and any amendments to any of the foregoing; (3) Do and perform any and all acts for and on behalf of the undersigned that may be necessary or desirable to complete and execute any such Forms and timely file such Forms with the United States Securities and Exchange Commission and any stock exchange or similar authority; and (4) Take any other action of any type whatsoever in connection with the foregoing that, in the opinion of such attorney-in-fact, may be of benefit to, in the best interest of, or legally required by, the undersigned. The undersigned understands and confirms that the Forms executed by such attorney-in-fact on behalf of the undersigned pursuant to this Power of Attorney shall be in such form and shall contain such terms and conditions as such attorney-in-fact may approve in such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and shall not be liable or responsible for, nor shall the Company be liable or responsible for, any of the undersigned’s responsibilities to comply with the Exchange Act. This Power of Attorney shall remain in full force and effect until the undersigned is no longer required to file Forms 3, 4 and 5 with respect to securities issued by the Company, unless earlier revoked with respect to any of the attorneys- in-fact named herein by the undersigned in a signed writing delivered to such person or persons or the Company. IN WITNESS WHEREOF, the undersigned has caused this Power of Attorney to be executed as of this 30th day of April 2026. /s/ Todd R. Sutherland Name: Todd R. Sutherland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751" TargetMode="External"/><Relationship Id="rId5" Type="http://schemas.openxmlformats.org/officeDocument/2006/relationships/hyperlink" Target="http://www.sec.gov/cgi-bin/browse-edgar?action=getcompany&amp;CIK=00016204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1119</Words>
  <Characters>5881</Characters>
  <CharactersWithSpaces>6941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powerofattorneysutherlan</dc:title>
</cp:coreProperties>
</file>