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233680</wp:posOffset>
            </wp:positionH>
            <wp:positionV relativeFrom="page">
              <wp:posOffset>483235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440055</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5"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 for the quarterly period</w:t>
      </w:r>
    </w:p>
    <w:p>
      <w:pPr>
        <w:ind w:left="740" w:hanging="714"/>
        <w:spacing w:after="0"/>
        <w:tabs>
          <w:tab w:leader="none" w:pos="7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ended September 30, 2020</w:t>
      </w:r>
    </w:p>
    <w:p>
      <w:pPr>
        <w:spacing w:after="0" w:line="8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 for the transition period</w:t>
      </w:r>
    </w:p>
    <w:p>
      <w:pPr>
        <w:ind w:left="740" w:hanging="714"/>
        <w:spacing w:after="0"/>
        <w:tabs>
          <w:tab w:leader="none" w:pos="7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from _______ to _______</w:t>
      </w: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Number: 001-36777</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JAMES RIVER GROUP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5" w:lineRule="exact"/>
        <w:rPr>
          <w:sz w:val="24"/>
          <w:szCs w:val="24"/>
          <w:color w:val="auto"/>
        </w:rPr>
      </w:pPr>
    </w:p>
    <w:tbl>
      <w:tblPr>
        <w:tblLayout w:type="fixed"/>
        <w:tblInd w:w="172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326"/>
        </w:trPr>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Bermuda</w:t>
            </w:r>
          </w:p>
        </w:tc>
        <w:tc>
          <w:tcPr>
            <w:tcW w:w="5520" w:type="dxa"/>
            <w:vAlign w:val="bottom"/>
          </w:tcPr>
          <w:p>
            <w:pPr>
              <w:jc w:val="center"/>
              <w:ind w:left="4279"/>
              <w:spacing w:after="0"/>
              <w:rPr>
                <w:sz w:val="20"/>
                <w:szCs w:val="20"/>
                <w:color w:val="auto"/>
              </w:rPr>
            </w:pPr>
            <w:r>
              <w:rPr>
                <w:rFonts w:ascii="Times New Roman" w:cs="Times New Roman" w:eastAsia="Times New Roman" w:hAnsi="Times New Roman"/>
                <w:sz w:val="18"/>
                <w:szCs w:val="18"/>
                <w:b w:val="1"/>
                <w:bCs w:val="1"/>
                <w:color w:val="auto"/>
              </w:rPr>
              <w:t>98-0585280</w:t>
            </w:r>
          </w:p>
        </w:tc>
      </w:tr>
      <w:tr>
        <w:trPr>
          <w:trHeight w:val="146"/>
        </w:trPr>
        <w:tc>
          <w:tcPr>
            <w:tcW w:w="1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520" w:type="dxa"/>
            <w:vAlign w:val="bottom"/>
          </w:tcPr>
          <w:p>
            <w:pPr>
              <w:jc w:val="center"/>
              <w:ind w:left="4319"/>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520" w:type="dxa"/>
            <w:vAlign w:val="bottom"/>
          </w:tcPr>
          <w:p>
            <w:pPr>
              <w:jc w:val="center"/>
              <w:ind w:left="431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87" w:lineRule="exact"/>
        <w:rPr>
          <w:sz w:val="24"/>
          <w:szCs w:val="24"/>
          <w:color w:val="auto"/>
        </w:rPr>
      </w:pPr>
    </w:p>
    <w:p>
      <w:pPr>
        <w:jc w:val="center"/>
        <w:ind w:left="48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Wellesley House, 2nd Floor, 90 Pitts Bay Road, Pembroke HM08, Bermuda (Address of principal executive offices) (Zip Code)</w:t>
      </w:r>
    </w:p>
    <w:p>
      <w:pPr>
        <w:spacing w:after="0" w:line="222"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(441) 278-4580</w:t>
      </w:r>
    </w:p>
    <w:p>
      <w:pPr>
        <w:spacing w:after="0" w:line="3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1" w:lineRule="exact"/>
        <w:rPr>
          <w:sz w:val="24"/>
          <w:szCs w:val="24"/>
          <w:color w:val="auto"/>
        </w:rPr>
      </w:pPr>
    </w:p>
    <w:tbl>
      <w:tblPr>
        <w:tblLayout w:type="fixed"/>
        <w:tblInd w:w="122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38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Names of each exchange on which registered</w:t>
            </w:r>
          </w:p>
        </w:tc>
      </w:tr>
      <w:tr>
        <w:trPr>
          <w:trHeight w:val="20"/>
        </w:trPr>
        <w:tc>
          <w:tcPr>
            <w:tcW w:w="10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r>
      <w:tr>
        <w:trPr>
          <w:trHeight w:val="290"/>
        </w:trPr>
        <w:tc>
          <w:tcPr>
            <w:tcW w:w="36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Common Shares, par value $0.0002 per share</w:t>
            </w: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5"/>
              </w:rPr>
              <w:t>JRVR</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90"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2" w:lineRule="exact"/>
        <w:rPr>
          <w:sz w:val="24"/>
          <w:szCs w:val="24"/>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ind w:left="20"/>
        <w:spacing w:after="0" w:line="185" w:lineRule="exact"/>
        <w:tabs>
          <w:tab w:leader="none" w:pos="1960" w:val="left"/>
          <w:tab w:leader="none" w:pos="3660" w:val="left"/>
          <w:tab w:leader="none" w:pos="5720" w:val="left"/>
          <w:tab w:leader="none" w:pos="8340" w:val="left"/>
          <w:tab w:leader="none" w:pos="1100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Arial" w:cs="Arial" w:eastAsia="Arial" w:hAnsi="Arial"/>
          <w:sz w:val="16"/>
          <w:szCs w:val="16"/>
          <w:color w:val="auto"/>
        </w:rPr>
        <w:t xml:space="preserve">x </w:t>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47"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8" w:lineRule="exact"/>
        <w:tabs>
          <w:tab w:leader="none" w:pos="7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Arial" w:cs="Arial" w:eastAsia="Arial" w:hAnsi="Arial"/>
          <w:sz w:val="18"/>
          <w:szCs w:val="18"/>
          <w:color w:val="auto"/>
        </w:rPr>
        <w:t>x</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the registrant's common shares outstanding at October 27, 2020: 30,610,153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89"/>
        </w:trPr>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29"/>
        </w:trPr>
        <w:tc>
          <w:tcPr>
            <w:tcW w:w="10480" w:type="dxa"/>
            <w:vAlign w:val="bottom"/>
            <w:gridSpan w:val="10"/>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PART I. FINANCIAL INFORMATION</w:t>
              </w:r>
            </w:hyperlink>
          </w:p>
        </w:tc>
        <w:tc>
          <w:tcPr>
            <w:tcW w:w="760" w:type="dxa"/>
            <w:vAlign w:val="bottom"/>
            <w:shd w:val="clear" w:color="auto" w:fill="CCEEFF"/>
          </w:tcPr>
          <w:p>
            <w:pPr>
              <w:spacing w:after="0"/>
              <w:rPr>
                <w:sz w:val="19"/>
                <w:szCs w:val="19"/>
                <w:color w:val="auto"/>
              </w:rPr>
            </w:pPr>
          </w:p>
        </w:tc>
      </w:tr>
      <w:tr>
        <w:trPr>
          <w:trHeight w:val="230"/>
        </w:trPr>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94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Item 1.</w:t>
              </w:r>
            </w:hyperlink>
          </w:p>
        </w:tc>
        <w:tc>
          <w:tcPr>
            <w:tcW w:w="954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Financial Statements</w:t>
              </w:r>
            </w:hyperlink>
          </w:p>
        </w:tc>
        <w:tc>
          <w:tcPr>
            <w:tcW w:w="760" w:type="dxa"/>
            <w:vAlign w:val="bottom"/>
            <w:shd w:val="clear" w:color="auto" w:fill="CCEEFF"/>
          </w:tcPr>
          <w:p>
            <w:pPr>
              <w:spacing w:after="0"/>
              <w:rPr>
                <w:sz w:val="19"/>
                <w:szCs w:val="19"/>
                <w:color w:val="auto"/>
              </w:rPr>
            </w:pPr>
          </w:p>
        </w:tc>
      </w:tr>
      <w:tr>
        <w:trPr>
          <w:trHeight w:val="229"/>
        </w:trPr>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940" w:type="dxa"/>
            <w:vAlign w:val="bottom"/>
            <w:shd w:val="clear" w:color="auto" w:fill="CCEEFF"/>
          </w:tcPr>
          <w:p>
            <w:pPr>
              <w:spacing w:after="0"/>
              <w:rPr>
                <w:sz w:val="19"/>
                <w:szCs w:val="19"/>
                <w:color w:val="auto"/>
              </w:rPr>
            </w:pPr>
          </w:p>
        </w:tc>
        <w:tc>
          <w:tcPr>
            <w:tcW w:w="954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Condensed Consolidated Balance Sheets—September 30, 2020 and December 31, 2019</w:t>
              </w:r>
            </w:hyperlink>
          </w:p>
        </w:tc>
        <w:tc>
          <w:tcPr>
            <w:tcW w:w="76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88"/>
              </w:rPr>
            </w:pPr>
            <w:hyperlink w:anchor="page5">
              <w:r>
                <w:rPr>
                  <w:rFonts w:ascii="Times New Roman" w:cs="Times New Roman" w:eastAsia="Times New Roman" w:hAnsi="Times New Roman"/>
                  <w:sz w:val="18"/>
                  <w:szCs w:val="18"/>
                  <w:u w:val="single" w:color="auto"/>
                  <w:color w:val="0000FF"/>
                  <w:w w:val="88"/>
                </w:rPr>
                <w:t>5</w:t>
              </w:r>
            </w:hyperlink>
          </w:p>
        </w:tc>
      </w:tr>
      <w:tr>
        <w:trPr>
          <w:trHeight w:val="229"/>
        </w:trPr>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89"/>
        </w:trPr>
        <w:tc>
          <w:tcPr>
            <w:tcW w:w="940" w:type="dxa"/>
            <w:vAlign w:val="bottom"/>
            <w:shd w:val="clear" w:color="auto" w:fill="CCEEFF"/>
          </w:tcPr>
          <w:p>
            <w:pPr>
              <w:spacing w:after="0"/>
              <w:rPr>
                <w:sz w:val="16"/>
                <w:szCs w:val="16"/>
                <w:color w:val="auto"/>
              </w:rPr>
            </w:pPr>
          </w:p>
        </w:tc>
        <w:tc>
          <w:tcPr>
            <w:tcW w:w="954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u w:val="single" w:color="auto"/>
                  <w:color w:val="0000FF"/>
                </w:rPr>
                <w:t>Condensed Consolidated Statements of Income (Loss) and Comprehensive Income—Three and</w:t>
              </w:r>
              <w:r>
                <w:rPr>
                  <w:rFonts w:ascii="Times New Roman" w:cs="Times New Roman" w:eastAsia="Times New Roman" w:hAnsi="Times New Roman"/>
                  <w:sz w:val="18"/>
                  <w:szCs w:val="18"/>
                  <w:color w:val="0000FF"/>
                </w:rPr>
                <w:t xml:space="preserve"> Nine Months Ended </w:t>
              </w:r>
              <w:r>
                <w:rPr>
                  <w:rFonts w:ascii="Times New Roman" w:cs="Times New Roman" w:eastAsia="Times New Roman" w:hAnsi="Times New Roman"/>
                  <w:sz w:val="18"/>
                  <w:szCs w:val="18"/>
                  <w:u w:val="single" w:color="auto"/>
                  <w:color w:val="0000FF"/>
                </w:rPr>
                <w:t>September</w:t>
              </w:r>
            </w:hyperlink>
          </w:p>
        </w:tc>
        <w:tc>
          <w:tcPr>
            <w:tcW w:w="760" w:type="dxa"/>
            <w:vAlign w:val="bottom"/>
            <w:shd w:val="clear" w:color="auto" w:fill="CCEEFF"/>
          </w:tcPr>
          <w:p>
            <w:pPr>
              <w:spacing w:after="0"/>
              <w:rPr>
                <w:sz w:val="16"/>
                <w:szCs w:val="16"/>
                <w:color w:val="auto"/>
              </w:rPr>
            </w:pPr>
          </w:p>
        </w:tc>
      </w:tr>
      <w:tr>
        <w:trPr>
          <w:trHeight w:val="196"/>
        </w:trPr>
        <w:tc>
          <w:tcPr>
            <w:tcW w:w="940" w:type="dxa"/>
            <w:vAlign w:val="bottom"/>
            <w:tcBorders>
              <w:top w:val="single" w:sz="8" w:color="CCEEFF"/>
            </w:tcBorders>
            <w:shd w:val="clear" w:color="auto" w:fill="CCEEFF"/>
          </w:tcPr>
          <w:p>
            <w:pPr>
              <w:spacing w:after="0"/>
              <w:rPr>
                <w:sz w:val="17"/>
                <w:szCs w:val="17"/>
                <w:color w:val="auto"/>
              </w:rPr>
            </w:pPr>
          </w:p>
        </w:tc>
        <w:tc>
          <w:tcPr>
            <w:tcW w:w="6920" w:type="dxa"/>
            <w:vAlign w:val="bottom"/>
            <w:tcBorders>
              <w:top w:val="single" w:sz="8" w:color="CCEEFF"/>
            </w:tcBorders>
            <w:gridSpan w:val="4"/>
            <w:shd w:val="clear" w:color="auto" w:fill="CCEEFF"/>
          </w:tcPr>
          <w:p>
            <w:pPr>
              <w:spacing w:after="0" w:line="196" w:lineRule="exact"/>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30, 2020 and 2019</w:t>
              </w:r>
            </w:hyperlink>
          </w:p>
        </w:tc>
        <w:tc>
          <w:tcPr>
            <w:tcW w:w="760" w:type="dxa"/>
            <w:vAlign w:val="bottom"/>
            <w:tcBorders>
              <w:top w:val="single" w:sz="8" w:color="0000FF"/>
            </w:tcBorders>
            <w:shd w:val="clear" w:color="auto" w:fill="CCEEFF"/>
          </w:tcPr>
          <w:p>
            <w:pPr>
              <w:spacing w:after="0"/>
              <w:rPr>
                <w:sz w:val="17"/>
                <w:szCs w:val="17"/>
                <w:color w:val="auto"/>
              </w:rPr>
            </w:pPr>
          </w:p>
        </w:tc>
        <w:tc>
          <w:tcPr>
            <w:tcW w:w="7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jc w:val="center"/>
              <w:spacing w:after="0" w:line="196" w:lineRule="exact"/>
              <w:rPr>
                <w:rFonts w:ascii="Times New Roman" w:cs="Times New Roman" w:eastAsia="Times New Roman" w:hAnsi="Times New Roman"/>
                <w:sz w:val="18"/>
                <w:szCs w:val="18"/>
                <w:u w:val="single" w:color="auto"/>
                <w:color w:val="0000FF"/>
                <w:w w:val="88"/>
              </w:rPr>
            </w:pPr>
            <w:hyperlink w:anchor="page6">
              <w:r>
                <w:rPr>
                  <w:rFonts w:ascii="Times New Roman" w:cs="Times New Roman" w:eastAsia="Times New Roman" w:hAnsi="Times New Roman"/>
                  <w:sz w:val="18"/>
                  <w:szCs w:val="18"/>
                  <w:u w:val="single" w:color="auto"/>
                  <w:color w:val="0000FF"/>
                  <w:w w:val="88"/>
                </w:rPr>
                <w:t>7</w:t>
              </w:r>
            </w:hyperlink>
          </w:p>
        </w:tc>
      </w:tr>
      <w:tr>
        <w:trPr>
          <w:trHeight w:val="229"/>
        </w:trPr>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89"/>
        </w:trPr>
        <w:tc>
          <w:tcPr>
            <w:tcW w:w="940" w:type="dxa"/>
            <w:vAlign w:val="bottom"/>
            <w:shd w:val="clear" w:color="auto" w:fill="CCEEFF"/>
          </w:tcPr>
          <w:p>
            <w:pPr>
              <w:spacing w:after="0"/>
              <w:rPr>
                <w:sz w:val="16"/>
                <w:szCs w:val="16"/>
                <w:color w:val="auto"/>
              </w:rPr>
            </w:pPr>
          </w:p>
        </w:tc>
        <w:tc>
          <w:tcPr>
            <w:tcW w:w="954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u w:val="single" w:color="auto"/>
                  <w:color w:val="0000FF"/>
                </w:rPr>
                <w:t>Condensed Consolidated Statements of Changes in Shareholders’ Equity—Three and</w:t>
              </w:r>
              <w:r>
                <w:rPr>
                  <w:rFonts w:ascii="Times New Roman" w:cs="Times New Roman" w:eastAsia="Times New Roman" w:hAnsi="Times New Roman"/>
                  <w:sz w:val="18"/>
                  <w:szCs w:val="18"/>
                  <w:color w:val="0000FF"/>
                </w:rPr>
                <w:t xml:space="preserve"> Nine Months Ended </w:t>
              </w:r>
              <w:r>
                <w:rPr>
                  <w:rFonts w:ascii="Times New Roman" w:cs="Times New Roman" w:eastAsia="Times New Roman" w:hAnsi="Times New Roman"/>
                  <w:sz w:val="18"/>
                  <w:szCs w:val="18"/>
                  <w:u w:val="single" w:color="auto"/>
                  <w:color w:val="0000FF"/>
                </w:rPr>
                <w:t>September</w:t>
              </w:r>
              <w:r>
                <w:rPr>
                  <w:rFonts w:ascii="Times New Roman" w:cs="Times New Roman" w:eastAsia="Times New Roman" w:hAnsi="Times New Roman"/>
                  <w:sz w:val="18"/>
                  <w:szCs w:val="18"/>
                  <w:color w:val="0000FF"/>
                </w:rPr>
                <w:t xml:space="preserve"> 30, 2020 and</w:t>
              </w:r>
            </w:hyperlink>
          </w:p>
        </w:tc>
        <w:tc>
          <w:tcPr>
            <w:tcW w:w="760" w:type="dxa"/>
            <w:vAlign w:val="bottom"/>
            <w:shd w:val="clear" w:color="auto" w:fill="CCEEFF"/>
          </w:tcPr>
          <w:p>
            <w:pPr>
              <w:spacing w:after="0"/>
              <w:rPr>
                <w:sz w:val="16"/>
                <w:szCs w:val="16"/>
                <w:color w:val="auto"/>
              </w:rPr>
            </w:pPr>
          </w:p>
        </w:tc>
      </w:tr>
      <w:tr>
        <w:trPr>
          <w:trHeight w:val="176"/>
        </w:trPr>
        <w:tc>
          <w:tcPr>
            <w:tcW w:w="940" w:type="dxa"/>
            <w:vAlign w:val="bottom"/>
            <w:tcBorders>
              <w:top w:val="single" w:sz="8" w:color="CCEEFF"/>
            </w:tcBorders>
            <w:shd w:val="clear" w:color="auto" w:fill="CCEEFF"/>
          </w:tcPr>
          <w:p>
            <w:pPr>
              <w:spacing w:after="0"/>
              <w:rPr>
                <w:sz w:val="15"/>
                <w:szCs w:val="15"/>
                <w:color w:val="auto"/>
              </w:rPr>
            </w:pPr>
          </w:p>
        </w:tc>
        <w:tc>
          <w:tcPr>
            <w:tcW w:w="5400" w:type="dxa"/>
            <w:vAlign w:val="bottom"/>
            <w:tcBorders>
              <w:top w:val="single" w:sz="8" w:color="CCEEFF"/>
            </w:tcBorders>
            <w:gridSpan w:val="2"/>
            <w:shd w:val="clear" w:color="auto" w:fill="CCEEFF"/>
          </w:tcPr>
          <w:p>
            <w:pPr>
              <w:spacing w:after="0" w:line="156" w:lineRule="exact"/>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2019</w:t>
              </w:r>
            </w:hyperlink>
          </w:p>
        </w:tc>
        <w:tc>
          <w:tcPr>
            <w:tcW w:w="8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0000FF"/>
            </w:tcBorders>
            <w:shd w:val="clear" w:color="auto" w:fill="CCEEFF"/>
          </w:tcPr>
          <w:p>
            <w:pPr>
              <w:spacing w:after="0"/>
              <w:rPr>
                <w:sz w:val="15"/>
                <w:szCs w:val="15"/>
                <w:color w:val="auto"/>
              </w:rPr>
            </w:pPr>
          </w:p>
        </w:tc>
        <w:tc>
          <w:tcPr>
            <w:tcW w:w="760" w:type="dxa"/>
            <w:vAlign w:val="bottom"/>
            <w:tcBorders>
              <w:top w:val="single" w:sz="8" w:color="0000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jc w:val="center"/>
              <w:spacing w:after="0" w:line="156" w:lineRule="exact"/>
              <w:rPr>
                <w:rFonts w:ascii="Times New Roman" w:cs="Times New Roman" w:eastAsia="Times New Roman" w:hAnsi="Times New Roman"/>
                <w:sz w:val="18"/>
                <w:szCs w:val="18"/>
                <w:u w:val="single" w:color="auto"/>
                <w:color w:val="0000FF"/>
                <w:w w:val="88"/>
              </w:rPr>
            </w:pPr>
            <w:hyperlink w:anchor="page7">
              <w:r>
                <w:rPr>
                  <w:rFonts w:ascii="Times New Roman" w:cs="Times New Roman" w:eastAsia="Times New Roman" w:hAnsi="Times New Roman"/>
                  <w:sz w:val="18"/>
                  <w:szCs w:val="18"/>
                  <w:u w:val="single" w:color="auto"/>
                  <w:color w:val="0000FF"/>
                  <w:w w:val="88"/>
                </w:rPr>
                <w:t>8</w:t>
              </w:r>
            </w:hyperlink>
          </w:p>
        </w:tc>
      </w:tr>
      <w:tr>
        <w:trPr>
          <w:trHeight w:val="230"/>
        </w:trPr>
        <w:tc>
          <w:tcPr>
            <w:tcW w:w="94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50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r>
      <w:tr>
        <w:trPr>
          <w:trHeight w:val="209"/>
        </w:trPr>
        <w:tc>
          <w:tcPr>
            <w:tcW w:w="940" w:type="dxa"/>
            <w:vAlign w:val="bottom"/>
            <w:shd w:val="clear" w:color="auto" w:fill="CCEEFF"/>
          </w:tcPr>
          <w:p>
            <w:pPr>
              <w:spacing w:after="0"/>
              <w:rPr>
                <w:sz w:val="18"/>
                <w:szCs w:val="18"/>
                <w:color w:val="auto"/>
              </w:rPr>
            </w:pPr>
          </w:p>
        </w:tc>
        <w:tc>
          <w:tcPr>
            <w:tcW w:w="954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 xml:space="preserve">Condensed Consolidated Statements of Cash </w:t>
              </w:r>
            </w:hyperlink>
            <w:r>
              <w:rPr>
                <w:rFonts w:ascii="Times New Roman" w:cs="Times New Roman" w:eastAsia="Times New Roman" w:hAnsi="Times New Roman"/>
                <w:sz w:val="18"/>
                <w:szCs w:val="18"/>
                <w:color w:val="0000FF"/>
              </w:rPr>
              <w:t xml:space="preserve">Flows—Nine </w:t>
            </w:r>
            <w:hyperlink w:anchor="page9">
              <w:r>
                <w:rPr>
                  <w:rFonts w:ascii="Times New Roman" w:cs="Times New Roman" w:eastAsia="Times New Roman" w:hAnsi="Times New Roman"/>
                  <w:sz w:val="18"/>
                  <w:szCs w:val="18"/>
                  <w:color w:val="0000FF"/>
                </w:rPr>
                <w:t xml:space="preserve">Months Ended </w:t>
              </w:r>
              <w:r>
                <w:rPr>
                  <w:rFonts w:ascii="Times New Roman" w:cs="Times New Roman" w:eastAsia="Times New Roman" w:hAnsi="Times New Roman"/>
                  <w:sz w:val="18"/>
                  <w:szCs w:val="18"/>
                  <w:u w:val="single" w:color="auto"/>
                  <w:color w:val="0000FF"/>
                </w:rPr>
                <w:t>September 30, 2020 and 2019</w:t>
              </w:r>
            </w:hyperlink>
          </w:p>
        </w:tc>
        <w:tc>
          <w:tcPr>
            <w:tcW w:w="760" w:type="dxa"/>
            <w:vAlign w:val="bottom"/>
            <w:shd w:val="clear" w:color="auto" w:fill="CCEEFF"/>
          </w:tcPr>
          <w:p>
            <w:pPr>
              <w:jc w:val="center"/>
              <w:spacing w:after="0" w:line="189" w:lineRule="exact"/>
              <w:rPr>
                <w:rFonts w:ascii="Times New Roman" w:cs="Times New Roman" w:eastAsia="Times New Roman" w:hAnsi="Times New Roman"/>
                <w:sz w:val="18"/>
                <w:szCs w:val="18"/>
                <w:u w:val="single" w:color="auto"/>
                <w:color w:val="0000FF"/>
                <w:w w:val="99"/>
              </w:rPr>
            </w:pPr>
            <w:hyperlink w:anchor="page9">
              <w:r>
                <w:rPr>
                  <w:rFonts w:ascii="Times New Roman" w:cs="Times New Roman" w:eastAsia="Times New Roman" w:hAnsi="Times New Roman"/>
                  <w:sz w:val="18"/>
                  <w:szCs w:val="18"/>
                  <w:u w:val="single" w:color="auto"/>
                  <w:color w:val="0000FF"/>
                  <w:w w:val="99"/>
                </w:rPr>
                <w:t>10</w:t>
              </w:r>
            </w:hyperlink>
          </w:p>
        </w:tc>
      </w:tr>
      <w:tr>
        <w:trPr>
          <w:trHeight w:val="230"/>
        </w:trPr>
        <w:tc>
          <w:tcPr>
            <w:tcW w:w="94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5040" w:type="dxa"/>
            <w:vAlign w:val="bottom"/>
            <w:tcBorders>
              <w:top w:val="single" w:sz="8" w:color="0000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r>
      <w:tr>
        <w:trPr>
          <w:trHeight w:val="229"/>
        </w:trPr>
        <w:tc>
          <w:tcPr>
            <w:tcW w:w="940" w:type="dxa"/>
            <w:vAlign w:val="bottom"/>
            <w:shd w:val="clear" w:color="auto" w:fill="CCEEFF"/>
          </w:tcPr>
          <w:p>
            <w:pPr>
              <w:spacing w:after="0"/>
              <w:rPr>
                <w:sz w:val="19"/>
                <w:szCs w:val="19"/>
                <w:color w:val="auto"/>
              </w:rPr>
            </w:pPr>
          </w:p>
        </w:tc>
        <w:tc>
          <w:tcPr>
            <w:tcW w:w="954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Notes to Condensed Consolidated Financial Statements</w:t>
              </w:r>
            </w:hyperlink>
          </w:p>
        </w:tc>
        <w:tc>
          <w:tcPr>
            <w:tcW w:w="76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88"/>
              </w:rPr>
            </w:pPr>
            <w:hyperlink w:anchor="page10">
              <w:r>
                <w:rPr>
                  <w:rFonts w:ascii="Times New Roman" w:cs="Times New Roman" w:eastAsia="Times New Roman" w:hAnsi="Times New Roman"/>
                  <w:sz w:val="18"/>
                  <w:szCs w:val="18"/>
                  <w:u w:val="single" w:color="auto"/>
                  <w:color w:val="0000FF"/>
                  <w:w w:val="88"/>
                </w:rPr>
                <w:t>11</w:t>
              </w:r>
            </w:hyperlink>
          </w:p>
        </w:tc>
      </w:tr>
      <w:tr>
        <w:trPr>
          <w:trHeight w:val="229"/>
        </w:trPr>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94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Item 2.</w:t>
              </w:r>
            </w:hyperlink>
          </w:p>
        </w:tc>
        <w:tc>
          <w:tcPr>
            <w:tcW w:w="954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76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30">
              <w:r>
                <w:rPr>
                  <w:rFonts w:ascii="Times New Roman" w:cs="Times New Roman" w:eastAsia="Times New Roman" w:hAnsi="Times New Roman"/>
                  <w:sz w:val="18"/>
                  <w:szCs w:val="18"/>
                  <w:u w:val="single" w:color="auto"/>
                  <w:color w:val="0000FF"/>
                  <w:w w:val="99"/>
                </w:rPr>
                <w:t>31</w:t>
              </w:r>
            </w:hyperlink>
          </w:p>
        </w:tc>
      </w:tr>
      <w:tr>
        <w:trPr>
          <w:trHeight w:val="229"/>
        </w:trPr>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940" w:type="dxa"/>
            <w:vAlign w:val="bottom"/>
            <w:shd w:val="clear" w:color="auto" w:fill="CCEEFF"/>
          </w:tcPr>
          <w:p>
            <w:pPr>
              <w:spacing w:after="0"/>
              <w:rPr>
                <w:sz w:val="19"/>
                <w:szCs w:val="19"/>
                <w:color w:val="auto"/>
              </w:rPr>
            </w:pPr>
          </w:p>
        </w:tc>
        <w:tc>
          <w:tcPr>
            <w:tcW w:w="954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Critical Accounting Policies and Estimates</w:t>
              </w:r>
            </w:hyperlink>
          </w:p>
        </w:tc>
        <w:tc>
          <w:tcPr>
            <w:tcW w:w="76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31">
              <w:r>
                <w:rPr>
                  <w:rFonts w:ascii="Times New Roman" w:cs="Times New Roman" w:eastAsia="Times New Roman" w:hAnsi="Times New Roman"/>
                  <w:sz w:val="18"/>
                  <w:szCs w:val="18"/>
                  <w:u w:val="single" w:color="auto"/>
                  <w:color w:val="0000FF"/>
                  <w:w w:val="99"/>
                </w:rPr>
                <w:t>32</w:t>
              </w:r>
            </w:hyperlink>
          </w:p>
        </w:tc>
      </w:tr>
      <w:tr>
        <w:trPr>
          <w:trHeight w:val="230"/>
        </w:trPr>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94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Item 3.</w:t>
              </w:r>
            </w:hyperlink>
          </w:p>
        </w:tc>
        <w:tc>
          <w:tcPr>
            <w:tcW w:w="954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Quantitative and Qualitative Disclosures About Market Risk</w:t>
              </w:r>
            </w:hyperlink>
          </w:p>
        </w:tc>
        <w:tc>
          <w:tcPr>
            <w:tcW w:w="76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53">
              <w:r>
                <w:rPr>
                  <w:rFonts w:ascii="Times New Roman" w:cs="Times New Roman" w:eastAsia="Times New Roman" w:hAnsi="Times New Roman"/>
                  <w:sz w:val="18"/>
                  <w:szCs w:val="18"/>
                  <w:u w:val="single" w:color="auto"/>
                  <w:color w:val="0000FF"/>
                  <w:w w:val="99"/>
                </w:rPr>
                <w:t>54</w:t>
              </w:r>
            </w:hyperlink>
          </w:p>
        </w:tc>
      </w:tr>
      <w:tr>
        <w:trPr>
          <w:trHeight w:val="230"/>
        </w:trPr>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94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Item 4.</w:t>
              </w:r>
            </w:hyperlink>
          </w:p>
        </w:tc>
        <w:tc>
          <w:tcPr>
            <w:tcW w:w="954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Controls and Procedures</w:t>
              </w:r>
            </w:hyperlink>
          </w:p>
        </w:tc>
        <w:tc>
          <w:tcPr>
            <w:tcW w:w="76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54">
              <w:r>
                <w:rPr>
                  <w:rFonts w:ascii="Times New Roman" w:cs="Times New Roman" w:eastAsia="Times New Roman" w:hAnsi="Times New Roman"/>
                  <w:sz w:val="18"/>
                  <w:szCs w:val="18"/>
                  <w:u w:val="single" w:color="auto"/>
                  <w:color w:val="0000FF"/>
                  <w:w w:val="99"/>
                </w:rPr>
                <w:t>54</w:t>
              </w:r>
            </w:hyperlink>
          </w:p>
        </w:tc>
      </w:tr>
      <w:tr>
        <w:trPr>
          <w:trHeight w:val="230"/>
        </w:trPr>
        <w:tc>
          <w:tcPr>
            <w:tcW w:w="1300" w:type="dxa"/>
            <w:vAlign w:val="bottom"/>
            <w:gridSpan w:val="2"/>
          </w:tcPr>
          <w:p>
            <w:pPr>
              <w:spacing w:after="0"/>
              <w:rPr>
                <w:sz w:val="19"/>
                <w:szCs w:val="19"/>
                <w:color w:val="auto"/>
              </w:rPr>
            </w:pPr>
          </w:p>
        </w:tc>
        <w:tc>
          <w:tcPr>
            <w:tcW w:w="5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10480" w:type="dxa"/>
            <w:vAlign w:val="bottom"/>
            <w:gridSpan w:val="10"/>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PART II. OTHER INFORMATION</w:t>
              </w:r>
            </w:hyperlink>
          </w:p>
        </w:tc>
        <w:tc>
          <w:tcPr>
            <w:tcW w:w="760" w:type="dxa"/>
            <w:vAlign w:val="bottom"/>
            <w:shd w:val="clear" w:color="auto" w:fill="CCEEFF"/>
          </w:tcPr>
          <w:p>
            <w:pPr>
              <w:spacing w:after="0"/>
              <w:rPr>
                <w:sz w:val="19"/>
                <w:szCs w:val="19"/>
                <w:color w:val="auto"/>
              </w:rPr>
            </w:pPr>
          </w:p>
        </w:tc>
      </w:tr>
      <w:tr>
        <w:trPr>
          <w:trHeight w:val="230"/>
        </w:trPr>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94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Item 1.</w:t>
              </w:r>
            </w:hyperlink>
          </w:p>
        </w:tc>
        <w:tc>
          <w:tcPr>
            <w:tcW w:w="954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Legal Proceedings</w:t>
              </w:r>
            </w:hyperlink>
          </w:p>
        </w:tc>
        <w:tc>
          <w:tcPr>
            <w:tcW w:w="76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54">
              <w:r>
                <w:rPr>
                  <w:rFonts w:ascii="Times New Roman" w:cs="Times New Roman" w:eastAsia="Times New Roman" w:hAnsi="Times New Roman"/>
                  <w:sz w:val="18"/>
                  <w:szCs w:val="18"/>
                  <w:u w:val="single" w:color="auto"/>
                  <w:color w:val="0000FF"/>
                  <w:w w:val="99"/>
                </w:rPr>
                <w:t>54</w:t>
              </w:r>
            </w:hyperlink>
          </w:p>
        </w:tc>
      </w:tr>
      <w:tr>
        <w:trPr>
          <w:trHeight w:val="230"/>
        </w:trPr>
        <w:tc>
          <w:tcPr>
            <w:tcW w:w="940" w:type="dxa"/>
            <w:vAlign w:val="bottom"/>
          </w:tcPr>
          <w:p>
            <w:pPr>
              <w:ind w:left="2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Item 1A.</w:t>
              </w:r>
            </w:hyperlink>
          </w:p>
        </w:tc>
        <w:tc>
          <w:tcPr>
            <w:tcW w:w="9540" w:type="dxa"/>
            <w:vAlign w:val="bottom"/>
            <w:gridSpan w:val="9"/>
          </w:tcPr>
          <w:p>
            <w:pPr>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Risk Factors</w:t>
              </w:r>
            </w:hyperlink>
          </w:p>
        </w:tc>
        <w:tc>
          <w:tcPr>
            <w:tcW w:w="7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4">
              <w:r>
                <w:rPr>
                  <w:rFonts w:ascii="Times New Roman" w:cs="Times New Roman" w:eastAsia="Times New Roman" w:hAnsi="Times New Roman"/>
                  <w:sz w:val="18"/>
                  <w:szCs w:val="18"/>
                  <w:u w:val="single" w:color="auto"/>
                  <w:color w:val="0000FF"/>
                  <w:w w:val="99"/>
                </w:rPr>
                <w:t>54</w:t>
              </w:r>
            </w:hyperlink>
          </w:p>
        </w:tc>
      </w:tr>
      <w:tr>
        <w:trPr>
          <w:trHeight w:val="229"/>
        </w:trPr>
        <w:tc>
          <w:tcPr>
            <w:tcW w:w="94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2.</w:t>
              </w:r>
            </w:hyperlink>
          </w:p>
        </w:tc>
        <w:tc>
          <w:tcPr>
            <w:tcW w:w="954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Unregistered Sales of Equity Securities and Use of Proceeds</w:t>
              </w:r>
            </w:hyperlink>
          </w:p>
        </w:tc>
        <w:tc>
          <w:tcPr>
            <w:tcW w:w="76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56">
              <w:r>
                <w:rPr>
                  <w:rFonts w:ascii="Times New Roman" w:cs="Times New Roman" w:eastAsia="Times New Roman" w:hAnsi="Times New Roman"/>
                  <w:sz w:val="18"/>
                  <w:szCs w:val="18"/>
                  <w:u w:val="single" w:color="auto"/>
                  <w:color w:val="0000FF"/>
                  <w:w w:val="99"/>
                </w:rPr>
                <w:t>56</w:t>
              </w:r>
            </w:hyperlink>
          </w:p>
        </w:tc>
      </w:tr>
      <w:tr>
        <w:trPr>
          <w:trHeight w:val="230"/>
        </w:trPr>
        <w:tc>
          <w:tcPr>
            <w:tcW w:w="940" w:type="dxa"/>
            <w:vAlign w:val="bottom"/>
          </w:tcPr>
          <w:p>
            <w:pPr>
              <w:ind w:left="2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3.</w:t>
              </w:r>
            </w:hyperlink>
          </w:p>
        </w:tc>
        <w:tc>
          <w:tcPr>
            <w:tcW w:w="9540" w:type="dxa"/>
            <w:vAlign w:val="bottom"/>
            <w:gridSpan w:val="9"/>
          </w:tcPr>
          <w:p>
            <w:pPr>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Defaults Upon Senior Securities</w:t>
              </w:r>
            </w:hyperlink>
          </w:p>
        </w:tc>
        <w:tc>
          <w:tcPr>
            <w:tcW w:w="7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6">
              <w:r>
                <w:rPr>
                  <w:rFonts w:ascii="Times New Roman" w:cs="Times New Roman" w:eastAsia="Times New Roman" w:hAnsi="Times New Roman"/>
                  <w:sz w:val="18"/>
                  <w:szCs w:val="18"/>
                  <w:u w:val="single" w:color="auto"/>
                  <w:color w:val="0000FF"/>
                  <w:w w:val="99"/>
                </w:rPr>
                <w:t>56</w:t>
              </w:r>
            </w:hyperlink>
          </w:p>
        </w:tc>
      </w:tr>
      <w:tr>
        <w:trPr>
          <w:trHeight w:val="230"/>
        </w:trPr>
        <w:tc>
          <w:tcPr>
            <w:tcW w:w="94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4.</w:t>
              </w:r>
            </w:hyperlink>
          </w:p>
        </w:tc>
        <w:tc>
          <w:tcPr>
            <w:tcW w:w="954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Mine Safety Disclosure</w:t>
              </w:r>
            </w:hyperlink>
          </w:p>
        </w:tc>
        <w:tc>
          <w:tcPr>
            <w:tcW w:w="76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56">
              <w:r>
                <w:rPr>
                  <w:rFonts w:ascii="Times New Roman" w:cs="Times New Roman" w:eastAsia="Times New Roman" w:hAnsi="Times New Roman"/>
                  <w:sz w:val="18"/>
                  <w:szCs w:val="18"/>
                  <w:u w:val="single" w:color="auto"/>
                  <w:color w:val="0000FF"/>
                  <w:w w:val="99"/>
                </w:rPr>
                <w:t>56</w:t>
              </w:r>
            </w:hyperlink>
          </w:p>
        </w:tc>
      </w:tr>
      <w:tr>
        <w:trPr>
          <w:trHeight w:val="230"/>
        </w:trPr>
        <w:tc>
          <w:tcPr>
            <w:tcW w:w="940" w:type="dxa"/>
            <w:vAlign w:val="bottom"/>
          </w:tcPr>
          <w:p>
            <w:pPr>
              <w:ind w:left="2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5.</w:t>
              </w:r>
            </w:hyperlink>
          </w:p>
        </w:tc>
        <w:tc>
          <w:tcPr>
            <w:tcW w:w="9540" w:type="dxa"/>
            <w:vAlign w:val="bottom"/>
            <w:gridSpan w:val="9"/>
          </w:tcPr>
          <w:p>
            <w:pPr>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Other Information</w:t>
              </w:r>
            </w:hyperlink>
          </w:p>
        </w:tc>
        <w:tc>
          <w:tcPr>
            <w:tcW w:w="7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6">
              <w:r>
                <w:rPr>
                  <w:rFonts w:ascii="Times New Roman" w:cs="Times New Roman" w:eastAsia="Times New Roman" w:hAnsi="Times New Roman"/>
                  <w:sz w:val="18"/>
                  <w:szCs w:val="18"/>
                  <w:u w:val="single" w:color="auto"/>
                  <w:color w:val="0000FF"/>
                  <w:w w:val="99"/>
                </w:rPr>
                <w:t>56</w:t>
              </w:r>
            </w:hyperlink>
          </w:p>
        </w:tc>
      </w:tr>
      <w:tr>
        <w:trPr>
          <w:trHeight w:val="229"/>
        </w:trPr>
        <w:tc>
          <w:tcPr>
            <w:tcW w:w="94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6.</w:t>
              </w:r>
            </w:hyperlink>
          </w:p>
        </w:tc>
        <w:tc>
          <w:tcPr>
            <w:tcW w:w="954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Exhibits</w:t>
              </w:r>
            </w:hyperlink>
          </w:p>
        </w:tc>
        <w:tc>
          <w:tcPr>
            <w:tcW w:w="76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56">
              <w:r>
                <w:rPr>
                  <w:rFonts w:ascii="Times New Roman" w:cs="Times New Roman" w:eastAsia="Times New Roman" w:hAnsi="Times New Roman"/>
                  <w:sz w:val="18"/>
                  <w:szCs w:val="18"/>
                  <w:u w:val="single" w:color="auto"/>
                  <w:color w:val="0000FF"/>
                  <w:w w:val="99"/>
                </w:rPr>
                <w:t>57</w:t>
              </w:r>
            </w:hyperlink>
          </w:p>
        </w:tc>
      </w:tr>
      <w:tr>
        <w:trPr>
          <w:trHeight w:val="230"/>
        </w:trPr>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94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Signatures</w:t>
              </w:r>
            </w:hyperlink>
          </w:p>
        </w:tc>
        <w:tc>
          <w:tcPr>
            <w:tcW w:w="360" w:type="dxa"/>
            <w:vAlign w:val="bottom"/>
            <w:shd w:val="clear" w:color="auto" w:fill="CCEEFF"/>
          </w:tcPr>
          <w:p>
            <w:pPr>
              <w:spacing w:after="0"/>
              <w:rPr>
                <w:sz w:val="19"/>
                <w:szCs w:val="19"/>
                <w:color w:val="auto"/>
              </w:rPr>
            </w:pPr>
          </w:p>
        </w:tc>
        <w:tc>
          <w:tcPr>
            <w:tcW w:w="5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57">
              <w:r>
                <w:rPr>
                  <w:rFonts w:ascii="Times New Roman" w:cs="Times New Roman" w:eastAsia="Times New Roman" w:hAnsi="Times New Roman"/>
                  <w:sz w:val="18"/>
                  <w:szCs w:val="18"/>
                  <w:u w:val="single" w:color="auto"/>
                  <w:color w:val="0000FF"/>
                  <w:w w:val="99"/>
                </w:rPr>
                <w:t>58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216" w:lineRule="exact"/>
        <w:rPr>
          <w:sz w:val="20"/>
          <w:szCs w:val="20"/>
          <w:color w:val="auto"/>
        </w:rPr>
      </w:pPr>
    </w:p>
    <w:p>
      <w:pPr>
        <w:ind w:left="82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of estimating reserves and the possibility that incurred losses may be greater than our loss and loss adjustment expense reserves;</w:t>
      </w:r>
    </w:p>
    <w:p>
      <w:pPr>
        <w:spacing w:after="0" w:line="5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and judgments in our risk management may expose us to greater risks than intended;</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members of our management team or key employees and our ability to attract and retain personnel;</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resulting in the sale of fewer policies than expected or an increase in the frequency or severity of claims, or both;</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financial strength rating resulting in a reduction of new or renewal business;</w:t>
      </w:r>
    </w:p>
    <w:p>
      <w:pPr>
        <w:spacing w:after="0" w:line="117" w:lineRule="exact"/>
        <w:rPr>
          <w:rFonts w:ascii="Times New Roman" w:cs="Times New Roman" w:eastAsia="Times New Roman" w:hAnsi="Times New Roman"/>
          <w:sz w:val="18"/>
          <w:szCs w:val="18"/>
          <w:color w:val="auto"/>
        </w:rPr>
      </w:pPr>
    </w:p>
    <w:p>
      <w:pPr>
        <w:ind w:left="820" w:right="6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select group of brokers and agents for a significant portion of our business and the impact of our potential failure to maintain, such relationships;</w:t>
      </w:r>
    </w:p>
    <w:p>
      <w:pPr>
        <w:spacing w:after="0" w:line="53" w:lineRule="exact"/>
        <w:rPr>
          <w:rFonts w:ascii="Times New Roman" w:cs="Times New Roman" w:eastAsia="Times New Roman" w:hAnsi="Times New Roman"/>
          <w:sz w:val="18"/>
          <w:szCs w:val="18"/>
          <w:color w:val="auto"/>
        </w:rPr>
      </w:pPr>
    </w:p>
    <w:p>
      <w:pPr>
        <w:ind w:left="820" w:right="4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select group of customers for a significant portion of our business and the impact of our potential failure to maintain, or decision to terminate, such relationships;</w:t>
      </w:r>
    </w:p>
    <w:p>
      <w:pPr>
        <w:spacing w:after="0" w:line="53" w:lineRule="exact"/>
        <w:rPr>
          <w:rFonts w:ascii="Times New Roman" w:cs="Times New Roman" w:eastAsia="Times New Roman" w:hAnsi="Times New Roman"/>
          <w:sz w:val="18"/>
          <w:szCs w:val="18"/>
          <w:color w:val="auto"/>
        </w:rPr>
      </w:pPr>
    </w:p>
    <w:p>
      <w:pPr>
        <w:ind w:left="820" w:right="320" w:hanging="488"/>
        <w:spacing w:after="0" w:line="266"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resulting from reinsurance counterparties failing to pay us on reinsurance claims, insurance companies with whom we have a fronting arrangement failing to pay us for claims, or an insured group of companies with whom we have an indemnification arrangement failing to perform their reimbursement obligations;</w:t>
      </w:r>
    </w:p>
    <w:p>
      <w:pPr>
        <w:spacing w:after="0" w:line="6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government regulation, including tax or insurance law and regulations;</w:t>
      </w:r>
    </w:p>
    <w:p>
      <w:pPr>
        <w:spacing w:after="0" w:line="117" w:lineRule="exact"/>
        <w:rPr>
          <w:rFonts w:ascii="Times New Roman" w:cs="Times New Roman" w:eastAsia="Times New Roman" w:hAnsi="Times New Roman"/>
          <w:sz w:val="18"/>
          <w:szCs w:val="18"/>
          <w:color w:val="auto"/>
        </w:rPr>
      </w:pPr>
    </w:p>
    <w:p>
      <w:pPr>
        <w:ind w:left="820" w:right="16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effect of Public Law No. 115-97, informally titled the Tax Cuts and Jobs Act, which may have a significant effect on us including, among other things, by potentially increasing our tax rate, as well as taxes on our shareholders;</w:t>
      </w:r>
    </w:p>
    <w:p>
      <w:pPr>
        <w:spacing w:after="0" w:line="53" w:lineRule="exact"/>
        <w:rPr>
          <w:rFonts w:ascii="Times New Roman" w:cs="Times New Roman" w:eastAsia="Times New Roman" w:hAnsi="Times New Roman"/>
          <w:sz w:val="18"/>
          <w:szCs w:val="18"/>
          <w:color w:val="auto"/>
        </w:rPr>
      </w:pPr>
    </w:p>
    <w:p>
      <w:pPr>
        <w:ind w:left="820" w:right="8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5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foreign subsidiaries becoming subject to U.S. federal income taxation;</w:t>
      </w:r>
    </w:p>
    <w:p>
      <w:pPr>
        <w:spacing w:after="0" w:line="117" w:lineRule="exact"/>
        <w:rPr>
          <w:rFonts w:ascii="Times New Roman" w:cs="Times New Roman" w:eastAsia="Times New Roman" w:hAnsi="Times New Roman"/>
          <w:sz w:val="18"/>
          <w:szCs w:val="18"/>
          <w:color w:val="auto"/>
        </w:rPr>
      </w:pPr>
    </w:p>
    <w:p>
      <w:pPr>
        <w:ind w:left="820" w:right="56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any of the loss limitations or exclusions we utilize to shield us from unanticipated financial losses or legal exposures, or other liabilities;</w:t>
      </w:r>
    </w:p>
    <w:p>
      <w:pPr>
        <w:spacing w:after="0" w:line="53" w:lineRule="exact"/>
        <w:rPr>
          <w:rFonts w:ascii="Times New Roman" w:cs="Times New Roman" w:eastAsia="Times New Roman" w:hAnsi="Times New Roman"/>
          <w:sz w:val="18"/>
          <w:szCs w:val="18"/>
          <w:color w:val="auto"/>
        </w:rPr>
      </w:pPr>
    </w:p>
    <w:p>
      <w:pPr>
        <w:ind w:left="820" w:right="54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from catastrophic events, such as natural disasters and terrorist acts, which substantially exceed our expectations and/or exceed the amount of reinsurance we have purchased to protect us from such events;</w:t>
      </w:r>
    </w:p>
    <w:p>
      <w:pPr>
        <w:spacing w:after="0" w:line="92" w:lineRule="exact"/>
        <w:rPr>
          <w:rFonts w:ascii="Times New Roman" w:cs="Times New Roman" w:eastAsia="Times New Roman" w:hAnsi="Times New Roman"/>
          <w:sz w:val="18"/>
          <w:szCs w:val="18"/>
          <w:color w:val="auto"/>
        </w:rPr>
      </w:pPr>
    </w:p>
    <w:p>
      <w:pPr>
        <w:ind w:left="820" w:right="360" w:hanging="488"/>
        <w:spacing w:after="0" w:line="278" w:lineRule="auto"/>
        <w:tabs>
          <w:tab w:leader="none" w:pos="815" w:val="left"/>
        </w:tabs>
        <w:numPr>
          <w:ilvl w:val="0"/>
          <w:numId w:val="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color w:val="auto"/>
        </w:rPr>
        <w:t xml:space="preserve">the effects of the COVID-19 pandemic and associated government actions on our operations and financial performance (see </w:t>
      </w:r>
      <w:r>
        <w:rPr>
          <w:rFonts w:ascii="Times New Roman" w:cs="Times New Roman" w:eastAsia="Times New Roman" w:hAnsi="Times New Roman"/>
          <w:sz w:val="18"/>
          <w:szCs w:val="18"/>
          <w:i w:val="1"/>
          <w:iCs w:val="1"/>
          <w:color w:val="auto"/>
        </w:rPr>
        <w:t>“Impact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COVID-19 Pandemic”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Part I, Item 2 of this Quarterly Report)</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22"/>
          <w:szCs w:val="22"/>
          <w:b w:val="1"/>
          <w:bCs w:val="1"/>
          <w:i w:val="1"/>
          <w:iCs w:val="1"/>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on our business of emerging claim and coverage issues;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credit risk, interest rate risk and other market risk in our investment portfolio;</w:t>
      </w:r>
    </w:p>
    <w:p>
      <w:pPr>
        <w:spacing w:after="0" w:line="117" w:lineRule="exact"/>
        <w:rPr>
          <w:rFonts w:ascii="Times New Roman" w:cs="Times New Roman" w:eastAsia="Times New Roman" w:hAnsi="Times New Roman"/>
          <w:sz w:val="18"/>
          <w:szCs w:val="18"/>
          <w:color w:val="auto"/>
        </w:rPr>
      </w:pPr>
    </w:p>
    <w:p>
      <w:pPr>
        <w:ind w:left="820" w:right="54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reinsurance coverage at prices and on terms that allow us to transfer risk and adequately protect our company against financial loss;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internal or external fraud, operational errors, systems malfunctions or cyber security incidents;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premiums we charge to compensate us for our losses incurred;</w:t>
      </w:r>
    </w:p>
    <w:p>
      <w:pPr>
        <w:spacing w:after="0" w:line="15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controls in accordance with Sarbanes-Oxley Act of 2002, as amended (“Sarbanes-Oxley”); and</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condition, regulations or other factors that may restrict our subsidiaries’ ability to pay us dividends.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 information about these risks and uncertainties, as well as others that may cause actual results to differ materially from those in the forward-looking statements, is contained in Part II, Item 1A "Risk Factors" in this Quarterly Report, and our filings with the U.S. Securities and Exchange Commission ("SEC"), including our Annual Report on Form 10-K filed with the SEC on February 27, 2020.</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3"/>
                <w:szCs w:val="13"/>
                <w:color w:val="auto"/>
              </w:rPr>
            </w:pPr>
          </w:p>
        </w:tc>
        <w:tc>
          <w:tcPr>
            <w:tcW w:w="11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5"/>
        </w:trPr>
        <w:tc>
          <w:tcPr>
            <w:tcW w:w="8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8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Invested assets: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available-for-sale, at fair value (amortized cost: 2020 – $1,724,561; 2019 – $1,398,533)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1,813,471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1,433,626</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 at fair value (cost: 2020 – $79,300; 2019 – $73,244)</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80,735</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 participations (2020: at fair value; 2019: held-for-investment, at amortized cost, net of allowance)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260,864</w:t>
            </w: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156,925</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invested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61,210</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invested assets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1,993,360</w:t>
            </w:r>
          </w:p>
        </w:tc>
        <w:tc>
          <w:tcPr>
            <w:tcW w:w="0" w:type="dxa"/>
            <w:vAlign w:val="bottom"/>
          </w:tcPr>
          <w:p>
            <w:pPr>
              <w:spacing w:after="0"/>
              <w:rPr>
                <w:sz w:val="1"/>
                <w:szCs w:val="1"/>
                <w:color w:val="auto"/>
              </w:rPr>
            </w:pPr>
          </w:p>
        </w:tc>
      </w:tr>
      <w:tr>
        <w:trPr>
          <w:trHeight w:val="257"/>
        </w:trPr>
        <w:tc>
          <w:tcPr>
            <w:tcW w:w="8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206,912</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1,199,164</w:t>
            </w: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receivable and agents’ balances,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369,462</w:t>
            </w: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 on unpaid losses,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769,815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668,045</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recoverable on paid losses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33,221</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178,976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62,006</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80,891</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4,984,353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5,024,405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3"/>
                <w:szCs w:val="13"/>
                <w:color w:val="auto"/>
              </w:rPr>
            </w:pPr>
          </w:p>
        </w:tc>
        <w:tc>
          <w:tcPr>
            <w:tcW w:w="11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5"/>
        </w:trPr>
        <w:tc>
          <w:tcPr>
            <w:tcW w:w="8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8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2,106,749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2,045,506</w:t>
            </w: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Unearned premiums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524,377</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Payables to reinsurers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108,059</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Funds held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1,199,164</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debt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Junior subordinated debt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58,416</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47,947</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4,162,947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4,245,824</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Shares – 2020 and 2019: $0.0002 par value; 200,000,000 shares authorized; 30,610,153 and 30,424,391</w:t>
            </w: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Shares – 2020 and 2019: $0.00125 par value; 20,000,000 shares authorized; no shares issued and</w:t>
            </w:r>
          </w:p>
        </w:tc>
        <w:tc>
          <w:tcPr>
            <w:tcW w:w="1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657,875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89,586</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31,114</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778,581</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4,984,353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5,024,405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 and Comprehensive Income (Loss)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58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311,852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388,228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897,332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1,095,565</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(164,359)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(451,762)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(424,045)</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671,520</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(68,880)</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602,640</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54,844</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665,975</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501,064</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132,287</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445,208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642,939</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unrealized gains, net of taxes of $849 and $6,384 in 2020 and $638</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47,433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50,449</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and $3,949 in 2019</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data: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30"/>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declared per share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30,582,540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30,382,105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30,529,557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30,230,490</w:t>
            </w:r>
          </w:p>
        </w:tc>
        <w:tc>
          <w:tcPr>
            <w:tcW w:w="0" w:type="dxa"/>
            <w:vAlign w:val="bottom"/>
          </w:tcPr>
          <w:p>
            <w:pPr>
              <w:spacing w:after="0"/>
              <w:rPr>
                <w:sz w:val="1"/>
                <w:szCs w:val="1"/>
                <w:color w:val="auto"/>
              </w:rPr>
            </w:pPr>
          </w:p>
        </w:tc>
      </w:tr>
      <w:tr>
        <w:trPr>
          <w:trHeight w:val="234"/>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30,946,843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30,382,105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30,838,595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30,659,389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1"/>
                <w:szCs w:val="11"/>
                <w:color w:val="auto"/>
              </w:rPr>
            </w:pPr>
          </w:p>
        </w:tc>
        <w:tc>
          <w:tcPr>
            <w:tcW w:w="76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(Par)</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30,553,178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795,711</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26,283</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expense under share incentive</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2020</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30,610,153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664,092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821,406</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2019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30,424,391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657,875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778,581</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47,433</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(27,815)</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expense under share incentive</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Cumulative effect of fair value option</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election (see Note 1)</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Cumulative effect of adoption of ASU No.</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2016-13 (see Note 1)</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2020</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30,610,153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821,406</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1"/>
                <w:szCs w:val="11"/>
                <w:color w:val="auto"/>
              </w:rPr>
            </w:pPr>
          </w:p>
        </w:tc>
        <w:tc>
          <w:tcPr>
            <w:tcW w:w="76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(Par)</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2019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30,330,675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791,050</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176"/>
        </w:trPr>
        <w:tc>
          <w:tcPr>
            <w:tcW w:w="3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expense under share incentive</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2019</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30,401,270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768,969</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2018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29,988,460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709,241</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50,449</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(27,557)</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175"/>
        </w:trPr>
        <w:tc>
          <w:tcPr>
            <w:tcW w:w="33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expense under share incentive</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Adoption of ASU No. 2016-02,</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derecognition of build-to-suit lease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2019</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30,401,270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768,969</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8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 (a)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(222,060)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213,787</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 fixed maturity securities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(327,725)</w:t>
            </w:r>
          </w:p>
        </w:tc>
        <w:tc>
          <w:tcPr>
            <w:tcW w:w="0" w:type="dxa"/>
            <w:vAlign w:val="bottom"/>
          </w:tcPr>
          <w:p>
            <w:pPr>
              <w:spacing w:after="0"/>
              <w:rPr>
                <w:sz w:val="1"/>
                <w:szCs w:val="1"/>
                <w:color w:val="auto"/>
              </w:rPr>
            </w:pPr>
          </w:p>
        </w:tc>
      </w:tr>
      <w:tr>
        <w:trPr>
          <w:trHeight w:val="230"/>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 fixed maturity securities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102,030</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Maturities and calls – fixed maturity securities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85,921</w:t>
            </w: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 equity securities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 equity securities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(73,102)</w:t>
            </w: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41,707</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34,303</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Return of capital</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 net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32,082</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receivable or payable,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(87,904)</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debt issuances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 repayments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(27,463)</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shares under equity incentive plans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repurchases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(42,038)</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 equivalents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83,845</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equivalents at beginning of period</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1,406,076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172,457</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equivalents at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8"/>
        <w:spacing w:after="0" w:line="266" w:lineRule="auto"/>
        <w:tabs>
          <w:tab w:leader="none" w:pos="24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used in operating activities for the nine months ended September 30, 2020 primarily reflects $258.9 million of restricted cash equivalents returned to a former insured, per the terms of a collateral trust (see </w:t>
      </w:r>
      <w:r>
        <w:rPr>
          <w:rFonts w:ascii="Times New Roman" w:cs="Times New Roman" w:eastAsia="Times New Roman" w:hAnsi="Times New Roman"/>
          <w:sz w:val="18"/>
          <w:szCs w:val="18"/>
          <w:i w:val="1"/>
          <w:iCs w:val="1"/>
          <w:color w:val="auto"/>
        </w:rPr>
        <w:t>Amounts Recoverable from an Indemnifying Party in Liquidity and Capital Resources</w:t>
      </w:r>
      <w:r>
        <w:rPr>
          <w:rFonts w:ascii="Times New Roman" w:cs="Times New Roman" w:eastAsia="Times New Roman" w:hAnsi="Times New Roman"/>
          <w:sz w:val="18"/>
          <w:szCs w:val="18"/>
          <w:color w:val="auto"/>
        </w:rPr>
        <w:t>). Excluding the reduction in the collateral funds, cash provided by operating activities was $36.9 million for the nine months ended September 30, 2020.</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9420" w:firstLine="8"/>
        <w:spacing w:after="0" w:line="377" w:lineRule="auto"/>
        <w:tabs>
          <w:tab w:leader="none" w:pos="30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 Organization</w:t>
      </w:r>
    </w:p>
    <w:p>
      <w:pPr>
        <w:spacing w:after="0" w:line="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owns five insurance companies based in the United States (“U.S.”) focused on specialty insurance niches and two Bermuda-based reinsurance companies as described below:</w:t>
      </w:r>
    </w:p>
    <w:p>
      <w:pPr>
        <w:spacing w:after="0" w:line="54" w:lineRule="exact"/>
        <w:rPr>
          <w:sz w:val="20"/>
          <w:szCs w:val="20"/>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54" w:lineRule="exact"/>
        <w:rPr>
          <w:sz w:val="20"/>
          <w:szCs w:val="20"/>
          <w:color w:val="auto"/>
        </w:rPr>
      </w:pPr>
    </w:p>
    <w:p>
      <w:pPr>
        <w:jc w:val="both"/>
        <w:ind w:left="660" w:hanging="328"/>
        <w:spacing w:after="0" w:line="266" w:lineRule="auto"/>
        <w:tabs>
          <w:tab w:leader="none" w:pos="69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68" w:lineRule="exact"/>
        <w:rPr>
          <w:sz w:val="20"/>
          <w:szCs w:val="20"/>
          <w:color w:val="auto"/>
        </w:rPr>
      </w:pPr>
    </w:p>
    <w:p>
      <w:pPr>
        <w:jc w:val="both"/>
        <w:ind w:left="660" w:hanging="328"/>
        <w:spacing w:after="0" w:line="266" w:lineRule="auto"/>
        <w:tabs>
          <w:tab w:leader="none" w:pos="6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Insurance Company is an Ohio domiciled excess and surplus lines insurance company that, with its wholly-owned insurance subsidiary, James River Casualty Company, a Virginia domiciled company, is authorized to write business in every state and the District of Columbia.</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and its subsidiaries primarily write specialty admitted fronting and program business and individual risk workers' compensation insurance.</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Carolina Re Ltd (“Carolina Re”) was formed in 2018 and as of January 1, 2018 provides reinsurance to the Company’s U.S.-based insurance subsidiaries. Carolina Re is also the cedent on a stop loss reinsurance treaty with JRG 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2019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2019 was derived from the Company’s audited annual consolidated financial statements.</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Intercompany transactions and balances have been eliminated.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$30.5 million and $31.2 million at September 30, 2020 and December 31, 2019, respectively, representing the Company’s maximum exposure to loss.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For the nine months ended September 30, 2020, our U.S. federal income tax expense was 14.4% of income before taxes. For the nine months ended September 30, 2019, our U.S. federal income tax expense was 22.4% of income before taxes. The effective tax rate for the nine months ended September 30, 2019 was elevated due to changes in reserve estimates between accident years in the commercial auto business, and the related impact on the mix of income reported by country.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Accounting Standards</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231F20"/>
        </w:rPr>
        <w:t xml:space="preserve">On January 1, 2020, the Company adopted ASU 2016-13, </w:t>
      </w:r>
      <w:r>
        <w:rPr>
          <w:rFonts w:ascii="Times New Roman" w:cs="Times New Roman" w:eastAsia="Times New Roman" w:hAnsi="Times New Roman"/>
          <w:sz w:val="18"/>
          <w:szCs w:val="18"/>
          <w:i w:val="1"/>
          <w:iCs w:val="1"/>
          <w:color w:val="231F20"/>
        </w:rPr>
        <w:t>Financial Instruments - Credit Losses (Topic 326): Measurement of Credit Losses 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Financial Instruments</w:t>
      </w:r>
      <w:r>
        <w:rPr>
          <w:rFonts w:ascii="Times New Roman" w:cs="Times New Roman" w:eastAsia="Times New Roman" w:hAnsi="Times New Roman"/>
          <w:sz w:val="18"/>
          <w:szCs w:val="18"/>
          <w:color w:val="231F20"/>
        </w:rPr>
        <w:t>, using the modified retrospective approach, by which a cumulative-effect adjustment was made to retained earnings as of the date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adoption. This update requires financial assets measured at amortized cost, such as bank loan participations held for investment, to be presented at the net amount expected to be collected by means of an allowance for credit losses that is reflected in net income. Credit losses relating to available-for-sale debt securities are recorded through an allowance for credit losses, with the amount of the allowance limited to the amount by which fair value is below amortized cost.</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In connection with the adoption of this ASU, the Company elected the fair value option in accounting for bank loan participations effective January 1, 2020. The targeted transition relief offered by ASU 2019-05, </w:t>
      </w:r>
      <w:r>
        <w:rPr>
          <w:rFonts w:ascii="Times New Roman" w:cs="Times New Roman" w:eastAsia="Times New Roman" w:hAnsi="Times New Roman"/>
          <w:sz w:val="18"/>
          <w:szCs w:val="18"/>
          <w:i w:val="1"/>
          <w:iCs w:val="1"/>
          <w:color w:val="231F20"/>
        </w:rPr>
        <w:t>Financial Instruments - Credit Losses (Topic 326): Targeted Transition Relief</w:t>
      </w:r>
      <w:r>
        <w:rPr>
          <w:rFonts w:ascii="Times New Roman" w:cs="Times New Roman" w:eastAsia="Times New Roman" w:hAnsi="Times New Roman"/>
          <w:sz w:val="18"/>
          <w:szCs w:val="18"/>
          <w:color w:val="231F20"/>
        </w:rPr>
        <w:t xml:space="preserve"> 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reduced the carrying value of its bank loan portfolio to fair value through an $8.4 million adjustment with a $7.8 million (net of tax) cumulative effect adjustment to reduce retained earnings.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Upon adoption of this ASU, the Company established an allowance for uncollectible reinsurance balances through a $265,000 (net of tax) cumulative effect adjustment to retained earnings. Because we purchase reinsurance from financially strong reinsurers or we have collateral securing the recoverables, the effect of adoption was not material to our financial position.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4"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available-for-sale fixed maturity securities are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10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288,596</w:t>
            </w: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306,469</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776,955</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335,834</w:t>
            </w: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103,594</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government</w:t>
            </w:r>
          </w:p>
        </w:tc>
        <w:tc>
          <w:tcPr>
            <w:tcW w:w="2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1,813,471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159,894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264,146</w:t>
            </w: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632,221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252,457</w:t>
            </w:r>
          </w:p>
        </w:tc>
        <w:tc>
          <w:tcPr>
            <w:tcW w:w="0" w:type="dxa"/>
            <w:vAlign w:val="bottom"/>
          </w:tcPr>
          <w:p>
            <w:pPr>
              <w:spacing w:after="0"/>
              <w:rPr>
                <w:sz w:val="1"/>
                <w:szCs w:val="1"/>
                <w:color w:val="auto"/>
              </w:rPr>
            </w:pPr>
          </w:p>
        </w:tc>
      </w:tr>
      <w:tr>
        <w:trPr>
          <w:trHeight w:val="176"/>
        </w:trPr>
        <w:tc>
          <w:tcPr>
            <w:tcW w:w="55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114,477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115,667</w:t>
            </w:r>
          </w:p>
        </w:tc>
        <w:tc>
          <w:tcPr>
            <w:tcW w:w="0" w:type="dxa"/>
            <w:vAlign w:val="bottom"/>
          </w:tcPr>
          <w:p>
            <w:pPr>
              <w:spacing w:after="0"/>
              <w:rPr>
                <w:sz w:val="1"/>
                <w:szCs w:val="1"/>
                <w:color w:val="auto"/>
              </w:rPr>
            </w:pPr>
          </w:p>
        </w:tc>
      </w:tr>
      <w:tr>
        <w:trPr>
          <w:trHeight w:val="229"/>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w:t>
            </w: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1,398,533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1,433,626</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available-for-sale investments in fixed maturity securities at September 30, 2020 are summarized, by contractual maturity,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440" w:type="dxa"/>
            <w:vAlign w:val="bottom"/>
          </w:tcPr>
          <w:p>
            <w:pPr>
              <w:spacing w:after="0"/>
              <w:rPr>
                <w:sz w:val="13"/>
                <w:szCs w:val="13"/>
                <w:color w:val="auto"/>
              </w:rPr>
            </w:pPr>
          </w:p>
        </w:tc>
        <w:tc>
          <w:tcPr>
            <w:tcW w:w="9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35"/>
        </w:trPr>
        <w:tc>
          <w:tcPr>
            <w:tcW w:w="8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3"/>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105,328</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483,155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330,510</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ten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250,152</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306,469</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335,834</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1,724,561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1,813,471</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Actual maturities may differ for some securities because borrowers have the right to call or prepay obligations with or without penalties.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4"/>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4"/>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4"/>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99,737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138,081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29"/>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U.S. Treasury securities and obligations guaranteed</w:t>
            </w: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by the U.S. government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154,118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September 30, 2020, the Company held fixed maturity securities of 27 issuers that were in an unrealized loss position with a total fair value of $138.1 million and gross unrealized losses of $2.6 million. None of the fixed maturity securities with unrealized losses has ever missed, or been delinquent on, a scheduled principal or interest payment. At September 30, 2020, 99.5%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September 30, 2020 had an aggregate fair value of $8.8 million and an aggregate net unrealized gain of $56,000.</w:t>
      </w:r>
    </w:p>
    <w:p>
      <w:pPr>
        <w:spacing w:after="0" w:line="7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231F20"/>
        </w:rPr>
        <w:t xml:space="preserve">The Company adopted ASU 2016-13, </w:t>
      </w:r>
      <w:r>
        <w:rPr>
          <w:rFonts w:ascii="Times New Roman" w:cs="Times New Roman" w:eastAsia="Times New Roman" w:hAnsi="Times New Roman"/>
          <w:sz w:val="18"/>
          <w:szCs w:val="18"/>
          <w:i w:val="1"/>
          <w:iCs w:val="1"/>
          <w:color w:val="231F20"/>
        </w:rPr>
        <w:t>Financial Instruments - Credit Losses (Topic 326): Measurement of Credit Losses on Financial Instruments</w:t>
      </w:r>
      <w:r>
        <w:rPr>
          <w:rFonts w:ascii="Times New Roman" w:cs="Times New Roman" w:eastAsia="Times New Roman" w:hAnsi="Times New Roman"/>
          <w:sz w:val="18"/>
          <w:szCs w:val="18"/>
          <w:color w:val="231F20"/>
        </w:rPr>
        <w:t xml:space="preserve"> on January 1, 2020. This update changed the impairment model for available-for-sale fixed maturities and requires the Company to determine whether unrealized losses on available-for-sale fixed maturities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Times New Roman" w:cs="Times New Roman" w:eastAsia="Times New Roman" w:hAnsi="Times New Roman"/>
          <w:sz w:val="18"/>
          <w:szCs w:val="18"/>
          <w:color w:val="000000"/>
        </w:rPr>
        <w:t>et realized and unrealized gains (losses) on investments</w:t>
      </w:r>
      <w:r>
        <w:rPr>
          <w:rFonts w:ascii="Times New Roman" w:cs="Times New Roman" w:eastAsia="Times New Roman" w:hAnsi="Times New Roman"/>
          <w:sz w:val="18"/>
          <w:szCs w:val="18"/>
          <w:color w:val="231F20"/>
        </w:rPr>
        <w:t>. Unrealized losses that are not credit-related will continue to be recognized in other comprehensive income.</w:t>
      </w:r>
    </w:p>
    <w:p>
      <w:pPr>
        <w:spacing w:after="0" w:line="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September 30, 2020. </w:t>
      </w:r>
      <w:r>
        <w:rPr>
          <w:rFonts w:ascii="Times New Roman" w:cs="Times New Roman" w:eastAsia="Times New Roman" w:hAnsi="Times New Roman"/>
          <w:sz w:val="18"/>
          <w:szCs w:val="18"/>
          <w:color w:val="231F20"/>
        </w:rPr>
        <w:t>Management does not intend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sell the securities in an unrealized loss position, and it is not “more likely than not” that the Company will be required to sell these securities before a recovery in their value to their amortized cost basis occurs.</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Management concluded that none of the fixed maturity securities with an unrealized loss at December 31, 2019 had experienced an other-than-temporary impairment. At March 31, 2019, management concluded that three fixed maturity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securities from one issuer that we intended to sell at a loss in the second quarter were impaired. The Company recorded impairment losses on these securities of $271,000 in the three months ended March 31, 2019. Management concluded that none of the fixed maturity securities with an unrealized loss at September 30, 2019 had experienced an other-than-temporary impairment.</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In connection with the adoption of ASU 2016-13, the Company elected the fair value option in accounting for bank loan participations effective January 1, 2020. The targeted transition relief offered by ASU 2019-05, </w:t>
      </w:r>
      <w:r>
        <w:rPr>
          <w:rFonts w:ascii="Times New Roman" w:cs="Times New Roman" w:eastAsia="Times New Roman" w:hAnsi="Times New Roman"/>
          <w:sz w:val="18"/>
          <w:szCs w:val="18"/>
          <w:i w:val="1"/>
          <w:iCs w:val="1"/>
          <w:color w:val="231F20"/>
        </w:rPr>
        <w:t>Financial Instruments - Credit Losses (Topic 326): Targeted Transition Relief</w:t>
      </w:r>
      <w:r>
        <w:rPr>
          <w:rFonts w:ascii="Times New Roman" w:cs="Times New Roman" w:eastAsia="Times New Roman" w:hAnsi="Times New Roman"/>
          <w:sz w:val="18"/>
          <w:szCs w:val="18"/>
          <w:color w:val="231F20"/>
        </w:rPr>
        <w:t xml:space="preserve"> 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applied the amendments on a modified retrospective basis, reducing the carrying value of its bank loan portfolio to fair value through an $8.4 million adjustment with a $7.8 million (net of tax) cumulative effect adjustment to reduce retained earnings.</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Applying the fair value option to the bank loan portfolio increases volatility in the Company's financial statements, but management believes it is less subjective and less burdensome to implement and maintain than ASU 2016-13, which would have otherwise been required. At September 30, 2020, the Company's bank loan portfolio had an aggregate fair value of $131.2 million and unpaid principal of $151.8 million. Investment income on bank loan participations included in net investment income was $2.4 million and $9.7 million for the three and nine months ended September 30, 2020, respectively. Net realized and unrealized gains (losses) on investments includes gains of $9.7 million and losses of $7.6 million related to changes in unrealized gains and losses on bank loan participations in the three and nine months ended September 30, 2020, respectively, and management concluded that $437,000 and $8.2 million of unrealized losses were due to credit-related impairments for the three and nine months ended September 30, 2020, respectively. Losses due to credit-related impairments were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Prior to the election of the fair value option on January 1, 2020, bank loan participations were classified as held-for-investment and carried at amortized cost net of any allowance for credit losses. Under the prior accounting method, management concluded that seven loans from six issuers in the Company's bank loan portfolio were impaired at December 31, 2019. At December 31, 2019, the impaired loans had a carrying value of $6.9 million, unpaid principal of $14.3 million, and an allowance for credit losses of $7.2 million, $5.1 million of which related to two loans from one issuer that was experiencing liquidity concerns resulting from revenue declines and poor growth prospects in its most profitable segment. Management concluded that five of the loans in the Company’s loan portfolio were impaired at September 30, 2019. At September 30, 2019, the impaired loans had a carrying value of $6.4 million, unpaid principal of $12.3 million, and an allowance for credit losses of $5.9 million, $4.2 million of which related to two loans from one issuer that was experiencing liquidity concerns resulting from revenue declines and poor growth prospects in its most profitable segment.</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31F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31F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September 30, 2020 or December 31, 2019.</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The average recorded investment in impaired bank loans was $3.2 million during the nine months ended September 30, 2019. Investment income of $23,000 was recognized during the time within that period that the loans were impaired.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94"/>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174"/>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34"/>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ind w:left="94"/>
        <w:spacing w:after="0" w:line="282" w:lineRule="auto"/>
        <w:rPr>
          <w:sz w:val="20"/>
          <w:szCs w:val="20"/>
          <w:color w:val="auto"/>
        </w:rPr>
      </w:pPr>
      <w:r>
        <w:rPr>
          <w:rFonts w:ascii="Times New Roman" w:cs="Times New Roman" w:eastAsia="Times New Roman" w:hAnsi="Times New Roman"/>
          <w:sz w:val="18"/>
          <w:szCs w:val="18"/>
          <w:color w:val="231F20"/>
        </w:rPr>
        <w:t>Company recorded net realized investment losses of $5.9 million and $7.7 million in the three and nine months ended September 30, 2019, respectively, for changes in the fair value of impaired bank loans.</w:t>
      </w:r>
    </w:p>
    <w:p>
      <w:pPr>
        <w:spacing w:after="0" w:line="54" w:lineRule="exact"/>
        <w:rPr>
          <w:sz w:val="20"/>
          <w:szCs w:val="20"/>
          <w:color w:val="auto"/>
        </w:rPr>
      </w:pPr>
    </w:p>
    <w:p>
      <w:pPr>
        <w:ind w:left="434"/>
        <w:spacing w:after="0"/>
        <w:rPr>
          <w:sz w:val="20"/>
          <w:szCs w:val="20"/>
          <w:color w:val="auto"/>
        </w:rPr>
      </w:pPr>
      <w:r>
        <w:rPr>
          <w:rFonts w:ascii="Times New Roman" w:cs="Times New Roman" w:eastAsia="Times New Roman" w:hAnsi="Times New Roman"/>
          <w:sz w:val="18"/>
          <w:szCs w:val="18"/>
          <w:color w:val="auto"/>
        </w:rPr>
        <w:t>The Company’s net realized and unrealized gains and losses on investments are summarized as follows:</w:t>
      </w:r>
    </w:p>
    <w:p>
      <w:pPr>
        <w:spacing w:after="0" w:line="136" w:lineRule="exact"/>
        <w:rPr>
          <w:sz w:val="20"/>
          <w:szCs w:val="20"/>
          <w:color w:val="auto"/>
        </w:rPr>
      </w:pPr>
    </w:p>
    <w:tbl>
      <w:tblPr>
        <w:tblLayout w:type="fixed"/>
        <w:tblInd w:w="94"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32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5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23"/>
        </w:trPr>
        <w:tc>
          <w:tcPr>
            <w:tcW w:w="55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values of bank loan participations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(21,763)</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(8,827)</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values of equity securities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r>
      <w:tr>
        <w:trPr>
          <w:trHeight w:val="223"/>
        </w:trPr>
        <w:tc>
          <w:tcPr>
            <w:tcW w:w="5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 and other:</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values of short-term investments and other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34"/>
        <w:spacing w:after="0"/>
        <w:rPr>
          <w:sz w:val="20"/>
          <w:szCs w:val="20"/>
          <w:color w:val="auto"/>
        </w:rPr>
      </w:pPr>
      <w:r>
        <w:rPr>
          <w:rFonts w:ascii="Times New Roman" w:cs="Times New Roman" w:eastAsia="Times New Roman" w:hAnsi="Times New Roman"/>
          <w:sz w:val="18"/>
          <w:szCs w:val="18"/>
          <w:color w:val="auto"/>
        </w:rPr>
        <w:t>Realized investment gains or losses are determined on a specific identification basis.</w:t>
      </w:r>
    </w:p>
    <w:p>
      <w:pPr>
        <w:spacing w:after="0" w:line="117" w:lineRule="exact"/>
        <w:rPr>
          <w:sz w:val="20"/>
          <w:szCs w:val="20"/>
          <w:color w:val="auto"/>
        </w:rPr>
      </w:pPr>
    </w:p>
    <w:p>
      <w:pPr>
        <w:jc w:val="both"/>
        <w:ind w:left="94" w:firstLine="324"/>
        <w:spacing w:after="0" w:line="282" w:lineRule="auto"/>
        <w:rPr>
          <w:sz w:val="20"/>
          <w:szCs w:val="20"/>
          <w:color w:val="auto"/>
        </w:rPr>
      </w:pPr>
      <w:r>
        <w:rPr>
          <w:rFonts w:ascii="Times New Roman" w:cs="Times New Roman" w:eastAsia="Times New Roman" w:hAnsi="Times New Roman"/>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88" w:lineRule="exact"/>
        <w:rPr>
          <w:sz w:val="20"/>
          <w:szCs w:val="20"/>
          <w:color w:val="auto"/>
        </w:rPr>
      </w:pPr>
    </w:p>
    <w:tbl>
      <w:tblPr>
        <w:tblLayout w:type="fixed"/>
        <w:tblInd w:w="94"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2180" w:type="dxa"/>
            <w:vAlign w:val="bottom"/>
            <w:gridSpan w:val="5"/>
          </w:tcPr>
          <w:p>
            <w:pPr>
              <w:ind w:left="240"/>
              <w:spacing w:after="0" w:line="13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1"/>
                <w:szCs w:val="11"/>
                <w:color w:val="auto"/>
              </w:rPr>
            </w:pPr>
          </w:p>
        </w:tc>
        <w:tc>
          <w:tcPr>
            <w:tcW w:w="2080" w:type="dxa"/>
            <w:vAlign w:val="bottom"/>
            <w:gridSpan w:val="4"/>
          </w:tcPr>
          <w:p>
            <w:pPr>
              <w:jc w:val="right"/>
              <w:ind w:right="473"/>
              <w:spacing w:after="0" w:line="134"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Renewable energy LLCs </w:t>
            </w:r>
            <w:r>
              <w:rPr>
                <w:rFonts w:ascii="Times New Roman" w:cs="Times New Roman" w:eastAsia="Times New Roman" w:hAnsi="Times New Roman"/>
                <w:sz w:val="18"/>
                <w:szCs w:val="18"/>
                <w:i w:val="1"/>
                <w:iCs w:val="1"/>
                <w:color w:val="auto"/>
              </w:rPr>
              <w:t>(a)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 energy notes receivable (</w:t>
            </w:r>
            <w:r>
              <w:rPr>
                <w:rFonts w:ascii="Times New Roman" w:cs="Times New Roman" w:eastAsia="Times New Roman" w:hAnsi="Times New Roman"/>
                <w:sz w:val="18"/>
                <w:szCs w:val="18"/>
                <w:i w:val="1"/>
                <w:iCs w:val="1"/>
                <w:color w:val="auto"/>
              </w:rPr>
              <w:t>b)</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Limited partnerships </w:t>
            </w:r>
            <w:r>
              <w:rPr>
                <w:rFonts w:ascii="Times New Roman" w:cs="Times New Roman" w:eastAsia="Times New Roman" w:hAnsi="Times New Roman"/>
                <w:sz w:val="18"/>
                <w:szCs w:val="18"/>
                <w:i w:val="1"/>
                <w:iCs w:val="1"/>
                <w:color w:val="auto"/>
              </w:rPr>
              <w:t>(c)</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Bank holding companies </w:t>
            </w:r>
            <w:r>
              <w:rPr>
                <w:rFonts w:ascii="Times New Roman" w:cs="Times New Roman" w:eastAsia="Times New Roman" w:hAnsi="Times New Roman"/>
                <w:sz w:val="18"/>
                <w:szCs w:val="18"/>
                <w:i w:val="1"/>
                <w:iCs w:val="1"/>
                <w:color w:val="auto"/>
              </w:rPr>
              <w:t>(d)</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invested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left="274" w:hanging="274"/>
        <w:spacing w:after="0" w:line="258" w:lineRule="auto"/>
        <w:tabs>
          <w:tab w:leader="none" w:pos="2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Corporate and Other segment owns equity interests ranging from 2.6% to 32.6% in various LLCs whose principal objective is capital appreciation and income generation from owning and operating renewable energy production facilities (wind and solar). The LLCs are managed by an entity for which two former directors served as officers, and the Company’s Chairman and Chief Executive Officer ("CEO")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34"/>
          </w:cols>
          <w:pgMar w:left="226" w:top="121" w:right="339" w:bottom="1440" w:gutter="0" w:footer="0" w:header="0"/>
        </w:sectPr>
      </w:pPr>
    </w:p>
    <w:bookmarkStart w:id="16" w:name="page17"/>
    <w:bookmarkEnd w:id="16"/>
    <w:p>
      <w:pPr>
        <w:ind w:left="94"/>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174"/>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34"/>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ind w:left="274" w:right="20"/>
        <w:spacing w:after="0" w:line="282" w:lineRule="auto"/>
        <w:rPr>
          <w:sz w:val="20"/>
          <w:szCs w:val="20"/>
          <w:color w:val="auto"/>
        </w:rPr>
      </w:pPr>
      <w:r>
        <w:rPr>
          <w:rFonts w:ascii="Times New Roman" w:cs="Times New Roman" w:eastAsia="Times New Roman" w:hAnsi="Times New Roman"/>
          <w:sz w:val="18"/>
          <w:szCs w:val="18"/>
          <w:color w:val="auto"/>
        </w:rPr>
        <w:t>for the LLCs. Expenses for the LLCs are not significant and are comprised of administrative and interest expenses. The Company received cash distributions from these investments totaling $1.0 million and $687,000 in the nine months ended September 30, 2020 and 2019, respectively.</w:t>
      </w:r>
    </w:p>
    <w:p>
      <w:pPr>
        <w:spacing w:after="0" w:line="54" w:lineRule="exact"/>
        <w:rPr>
          <w:sz w:val="20"/>
          <w:szCs w:val="20"/>
          <w:color w:val="auto"/>
        </w:rPr>
      </w:pPr>
    </w:p>
    <w:p>
      <w:pPr>
        <w:jc w:val="both"/>
        <w:ind w:left="274" w:hanging="274"/>
        <w:spacing w:after="0" w:line="258"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Company's Corporate and Other segment has invested in notes receivable for renewable energy projects. At December 31, 2019, the Company held an $8.8 million note issued by an </w:t>
      </w:r>
      <w:r>
        <w:rPr>
          <w:rFonts w:ascii="Times New Roman" w:cs="Times New Roman" w:eastAsia="Times New Roman" w:hAnsi="Times New Roman"/>
          <w:sz w:val="18"/>
          <w:szCs w:val="18"/>
          <w:color w:val="000000"/>
        </w:rPr>
        <w:t>entity for which two of our former directors serve as officers</w:t>
      </w:r>
      <w:r>
        <w:rPr>
          <w:rFonts w:ascii="Times New Roman" w:cs="Times New Roman" w:eastAsia="Times New Roman" w:hAnsi="Times New Roman"/>
          <w:sz w:val="18"/>
          <w:szCs w:val="18"/>
          <w:color w:val="231F20"/>
        </w:rPr>
        <w:t>. During the nine months ended September 30, 2020, the Company received the total principal balance of $8.8 million for the note issued. Interest on the note was fixed at 15.0%. Interest income on the note was $547,000 and $814,000 for the three and nine months ended September 30, 2020, respectively ($328,000 and $984,000 for the three and nine months ended September 30, 2019, respectively).</w:t>
      </w:r>
    </w:p>
    <w:p>
      <w:pPr>
        <w:spacing w:after="0" w:line="75" w:lineRule="exact"/>
        <w:rPr>
          <w:rFonts w:ascii="Times New Roman" w:cs="Times New Roman" w:eastAsia="Times New Roman" w:hAnsi="Times New Roman"/>
          <w:sz w:val="18"/>
          <w:szCs w:val="18"/>
          <w:color w:val="auto"/>
        </w:rPr>
      </w:pPr>
    </w:p>
    <w:p>
      <w:pPr>
        <w:jc w:val="both"/>
        <w:ind w:left="274" w:hanging="274"/>
        <w:spacing w:after="0" w:line="239" w:lineRule="auto"/>
        <w:tabs>
          <w:tab w:leader="none" w:pos="2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owns investments in limited partnerships that invest in concentrated portfolios including publicly-traded small cap equities, loans of middle market private equity sponsored companies, and tranches of distressed home loans. </w:t>
      </w:r>
      <w:r>
        <w:rPr>
          <w:rFonts w:ascii="Times New Roman" w:cs="Times New Roman" w:eastAsia="Times New Roman" w:hAnsi="Times New Roman"/>
          <w:sz w:val="18"/>
          <w:szCs w:val="18"/>
          <w:color w:val="231F20"/>
        </w:rPr>
        <w:t>Income f</w:t>
      </w:r>
      <w:r>
        <w:rPr>
          <w:rFonts w:ascii="Times New Roman" w:cs="Times New Roman" w:eastAsia="Times New Roman" w:hAnsi="Times New Roman"/>
          <w:sz w:val="18"/>
          <w:szCs w:val="18"/>
          <w:color w:val="auto"/>
        </w:rPr>
        <w:t xml:space="preserve">rom the partnerships is recognized under the equity method of accounting. The Company’s Corporate and Other segment held an investment in a limited partnership with a carrying value of $3.5 million at September 30, 2020. The Company recognized investment income of $100,000 and $182,000 on the investment for the nine months ended September 30, 2020 and </w:t>
      </w:r>
      <w:r>
        <w:rPr>
          <w:rFonts w:ascii="Times New Roman" w:cs="Times New Roman" w:eastAsia="Times New Roman" w:hAnsi="Times New Roman"/>
          <w:sz w:val="18"/>
          <w:szCs w:val="18"/>
          <w:color w:val="231F20"/>
        </w:rPr>
        <w:t>2019,</w:t>
      </w:r>
      <w:r>
        <w:rPr>
          <w:rFonts w:ascii="Times New Roman" w:cs="Times New Roman" w:eastAsia="Times New Roman" w:hAnsi="Times New Roman"/>
          <w:sz w:val="18"/>
          <w:szCs w:val="18"/>
          <w:color w:val="auto"/>
        </w:rPr>
        <w:t xml:space="preserve"> respectively. The Company’s Excess and Surplus Lines segment holds investments in limited partnerships of $7.1 million at September 30, 2020. Investment income of $2,000 and $2.0 million was recognized on the investments for the nine months ended September 30, 2020 and </w:t>
      </w:r>
      <w:r>
        <w:rPr>
          <w:rFonts w:ascii="Times New Roman" w:cs="Times New Roman" w:eastAsia="Times New Roman" w:hAnsi="Times New Roman"/>
          <w:sz w:val="18"/>
          <w:szCs w:val="18"/>
          <w:color w:val="231F20"/>
        </w:rPr>
        <w:t>2019</w:t>
      </w:r>
      <w:r>
        <w:rPr>
          <w:rFonts w:ascii="Times New Roman" w:cs="Times New Roman" w:eastAsia="Times New Roman" w:hAnsi="Times New Roman"/>
          <w:sz w:val="18"/>
          <w:szCs w:val="18"/>
          <w:color w:val="auto"/>
        </w:rPr>
        <w:t>, respectively. At September 30, 2020, the Company’s Excess and Surplus Lines segment has outstanding commitments to invest another $3.9 million in these limited partnerships.</w:t>
      </w:r>
    </w:p>
    <w:p>
      <w:pPr>
        <w:spacing w:after="0" w:line="79" w:lineRule="exact"/>
        <w:rPr>
          <w:rFonts w:ascii="Times New Roman" w:cs="Times New Roman" w:eastAsia="Times New Roman" w:hAnsi="Times New Roman"/>
          <w:sz w:val="18"/>
          <w:szCs w:val="18"/>
          <w:color w:val="auto"/>
        </w:rPr>
      </w:pPr>
    </w:p>
    <w:p>
      <w:pPr>
        <w:jc w:val="both"/>
        <w:ind w:left="274" w:hanging="274"/>
        <w:spacing w:after="0" w:line="261"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Corporate and Other segment holds $4.5 million of subordinated notes issued by a bank holding company for which the Company’s Chairman and CEO was previously the Lead Independent Director and an investor and for which one of the Company’s directors was an investor and is currently a holder of the subordinated notes (the "Bank Holding Company"). Interest on the notes, which mature on August 12, 2023, is fixed at 7.6% per annum. Interest income on the notes was $257,000 for both nine month periods ended September 30, 2020 and 2019, respectively.</w:t>
      </w:r>
    </w:p>
    <w:p>
      <w:pPr>
        <w:spacing w:after="0" w:line="72" w:lineRule="exact"/>
        <w:rPr>
          <w:sz w:val="20"/>
          <w:szCs w:val="20"/>
          <w:color w:val="auto"/>
        </w:rPr>
      </w:pPr>
    </w:p>
    <w:p>
      <w:pPr>
        <w:jc w:val="both"/>
        <w:ind w:left="94" w:firstLine="324"/>
        <w:spacing w:after="0" w:line="282" w:lineRule="auto"/>
        <w:rPr>
          <w:sz w:val="20"/>
          <w:szCs w:val="20"/>
          <w:color w:val="auto"/>
        </w:rPr>
      </w:pPr>
      <w:r>
        <w:rPr>
          <w:rFonts w:ascii="Times New Roman" w:cs="Times New Roman" w:eastAsia="Times New Roman" w:hAnsi="Times New Roman"/>
          <w:sz w:val="18"/>
          <w:szCs w:val="18"/>
          <w:color w:val="231F20"/>
        </w:rPr>
        <w:t>At September 30, 2020 and December 31, 2019, the Company held an investment in a CLO where one of the underlying loans was issued by the Bank Holding Company. The investment, with a carrying value of $677,000 at September 30, 2020, is classified as an available-for-sale fixed maturity.</w:t>
      </w:r>
    </w:p>
    <w:p>
      <w:pPr>
        <w:spacing w:after="0" w:line="50" w:lineRule="exact"/>
        <w:rPr>
          <w:sz w:val="20"/>
          <w:szCs w:val="20"/>
          <w:color w:val="auto"/>
        </w:rPr>
      </w:pPr>
    </w:p>
    <w:p>
      <w:pPr>
        <w:ind w:left="94"/>
        <w:spacing w:after="0"/>
        <w:tabs>
          <w:tab w:leader="none" w:pos="394" w:val="left"/>
        </w:tabs>
        <w:rPr>
          <w:sz w:val="20"/>
          <w:szCs w:val="20"/>
          <w:color w:val="auto"/>
        </w:rPr>
      </w:pPr>
      <w:r>
        <w:rPr>
          <w:rFonts w:ascii="Times New Roman" w:cs="Times New Roman" w:eastAsia="Times New Roman" w:hAnsi="Times New Roman"/>
          <w:sz w:val="18"/>
          <w:szCs w:val="18"/>
          <w:b w:val="1"/>
          <w:bCs w:val="1"/>
          <w:color w:val="auto"/>
        </w:rPr>
        <w:t>3.</w:t>
        <w:tab/>
        <w:t>Goodwill and Intangible Assets</w:t>
      </w:r>
    </w:p>
    <w:p>
      <w:pPr>
        <w:spacing w:after="0" w:line="121" w:lineRule="exact"/>
        <w:rPr>
          <w:sz w:val="20"/>
          <w:szCs w:val="20"/>
          <w:color w:val="auto"/>
        </w:rPr>
      </w:pPr>
    </w:p>
    <w:p>
      <w:pPr>
        <w:jc w:val="both"/>
        <w:ind w:left="94" w:firstLine="324"/>
        <w:spacing w:after="0" w:line="261" w:lineRule="auto"/>
        <w:rPr>
          <w:sz w:val="20"/>
          <w:szCs w:val="20"/>
          <w:color w:val="auto"/>
        </w:rPr>
      </w:pPr>
      <w:r>
        <w:rPr>
          <w:rFonts w:ascii="Times New Roman" w:cs="Times New Roman" w:eastAsia="Times New Roman" w:hAnsi="Times New Roman"/>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September 30, 2020 and December 31, 2019.</w:t>
      </w:r>
    </w:p>
    <w:p>
      <w:pPr>
        <w:spacing w:after="0" w:line="72" w:lineRule="exact"/>
        <w:rPr>
          <w:sz w:val="20"/>
          <w:szCs w:val="20"/>
          <w:color w:val="auto"/>
        </w:rPr>
      </w:pPr>
    </w:p>
    <w:p>
      <w:pPr>
        <w:ind w:left="434"/>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for each major specifically identifiable intangible asset class were as follows:</w:t>
      </w:r>
    </w:p>
    <w:p>
      <w:pPr>
        <w:spacing w:after="0" w:line="151" w:lineRule="exact"/>
        <w:rPr>
          <w:sz w:val="20"/>
          <w:szCs w:val="20"/>
          <w:color w:val="auto"/>
        </w:rPr>
      </w:pPr>
    </w:p>
    <w:tbl>
      <w:tblPr>
        <w:tblLayout w:type="fixed"/>
        <w:tblInd w:w="94" w:type="dxa"/>
        <w:tblCellMar>
          <w:top w:w="0" w:type="dxa"/>
          <w:left w:w="0" w:type="dxa"/>
          <w:bottom w:w="0" w:type="dxa"/>
          <w:right w:w="0" w:type="dxa"/>
        </w:tblCellMar>
      </w:tblPr>
      <w:tr>
        <w:trPr>
          <w:trHeight w:val="195"/>
        </w:trPr>
        <w:tc>
          <w:tcPr>
            <w:tcW w:w="4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1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intangibles not subject to amortization</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 relationships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subject to amortization</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34"/>
          </w:cols>
          <w:pgMar w:left="226"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represents a reconciliation of the numerator and denominator of the basic and diluted earnings per share computations contained in the condensed consolidated financial statements: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64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1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amounts)</w:t>
            </w: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to shareholders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26,283</w:t>
            </w:r>
          </w:p>
        </w:tc>
        <w:tc>
          <w:tcPr>
            <w:tcW w:w="5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17,868</w:t>
            </w:r>
          </w:p>
        </w:tc>
      </w:tr>
      <w:tr>
        <w:trPr>
          <w:trHeight w:val="270"/>
        </w:trPr>
        <w:tc>
          <w:tcPr>
            <w:tcW w:w="5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30,582,540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30,382,105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30,529,557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30,230,490</w:t>
            </w:r>
          </w:p>
        </w:tc>
      </w:tr>
      <w:tr>
        <w:trPr>
          <w:trHeight w:val="23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share equivalents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428,899</w:t>
            </w:r>
          </w:p>
        </w:tc>
      </w:tr>
      <w:tr>
        <w:trPr>
          <w:trHeight w:val="223"/>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30,946,843</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30,382,105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30,838,595</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30,659,389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5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r>
      <w:tr>
        <w:trPr>
          <w:trHeight w:val="22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share equivalents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8"/>
        </w:trPr>
        <w:tc>
          <w:tcPr>
            <w:tcW w:w="52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For the three and nine months ended September 30, 2020, all common share equivalents are dilutive. For the three months ended September 30, 2019, common share equivalents of 431,137 were excluded from the calculation of diluted earnings per share as a net loss for the three months ended September</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30, 2019 made the effects of all common share equivalents anti-dilutive. For the nine months ended September 30, 2019, all common share equivalents were dilutive.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Reserve for Losses and Loss Adjustment Expenses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 $335,000 allowance for uncollectible reinsurance balances at June 30, 2020 and September 30, 2020.</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240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Reserve for losses and loss adjustment expenses net of reinsurance</w:t>
            </w: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1,339,534</w:t>
            </w: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1,237,930</w:t>
            </w:r>
          </w:p>
        </w:tc>
        <w:tc>
          <w:tcPr>
            <w:tcW w:w="1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1,377,461</w:t>
            </w: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1,194,088</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recoverables at beginning of period</w:t>
            </w:r>
          </w:p>
        </w:tc>
        <w:tc>
          <w:tcPr>
            <w:tcW w:w="3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Incurred losses and loss adjustment expenses net of reinsurance: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440,810</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60,254</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 losses and loss and adjustment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214,084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501,064</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 Loss and loss adjustment expense payments net of reinsurance: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46,275</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329,061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322,397</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 and loss adjustment expense payments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125,534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342,619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368,672</w:t>
            </w:r>
          </w:p>
        </w:tc>
        <w:tc>
          <w:tcPr>
            <w:tcW w:w="0" w:type="dxa"/>
            <w:vAlign w:val="bottom"/>
          </w:tcPr>
          <w:p>
            <w:pPr>
              <w:spacing w:after="0"/>
              <w:rPr>
                <w:sz w:val="1"/>
                <w:szCs w:val="1"/>
                <w:color w:val="auto"/>
              </w:rPr>
            </w:pPr>
          </w:p>
        </w:tc>
      </w:tr>
      <w:tr>
        <w:trPr>
          <w:trHeight w:val="156"/>
        </w:trPr>
        <w:tc>
          <w:tcPr>
            <w:tcW w:w="54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Reserve for losses and loss adjustment expenses net of reinsurance</w:t>
            </w:r>
          </w:p>
        </w:tc>
        <w:tc>
          <w:tcPr>
            <w:tcW w:w="3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1,336,599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1,326,480</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1,336,599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1,326,480</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recoverables at end of period</w:t>
            </w: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Add: Reinsurance recoverables on unpaid losses and loss adjustment</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770,150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614,827</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770,150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614,827</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at end of period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4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Reserve for losses and loss adjustment expenses gross of reinsurance</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recoverables on unpaid losses and loss adjustment expenses at end of</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2,106,749</w:t>
            </w:r>
          </w:p>
        </w:tc>
        <w:tc>
          <w:tcPr>
            <w:tcW w:w="100" w:type="dxa"/>
            <w:vAlign w:val="bottom"/>
          </w:tcPr>
          <w:p>
            <w:pPr>
              <w:spacing w:after="0"/>
              <w:rPr>
                <w:sz w:val="15"/>
                <w:szCs w:val="15"/>
                <w:color w:val="auto"/>
              </w:rPr>
            </w:pP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1,941,307</w:t>
            </w:r>
          </w:p>
        </w:tc>
        <w:tc>
          <w:tcPr>
            <w:tcW w:w="120" w:type="dxa"/>
            <w:vAlign w:val="bottom"/>
          </w:tcPr>
          <w:p>
            <w:pPr>
              <w:spacing w:after="0"/>
              <w:rPr>
                <w:sz w:val="15"/>
                <w:szCs w:val="15"/>
                <w:color w:val="auto"/>
              </w:rPr>
            </w:pPr>
          </w:p>
        </w:tc>
        <w:tc>
          <w:tcPr>
            <w:tcW w:w="4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2,106,749</w:t>
            </w:r>
          </w:p>
        </w:tc>
        <w:tc>
          <w:tcPr>
            <w:tcW w:w="100" w:type="dxa"/>
            <w:vAlign w:val="bottom"/>
          </w:tcPr>
          <w:p>
            <w:pPr>
              <w:spacing w:after="0"/>
              <w:rPr>
                <w:sz w:val="15"/>
                <w:szCs w:val="15"/>
                <w:color w:val="auto"/>
              </w:rPr>
            </w:pPr>
          </w:p>
        </w:tc>
        <w:tc>
          <w:tcPr>
            <w:tcW w:w="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1,941,307</w:t>
            </w:r>
          </w:p>
        </w:tc>
        <w:tc>
          <w:tcPr>
            <w:tcW w:w="0" w:type="dxa"/>
            <w:vAlign w:val="bottom"/>
          </w:tcPr>
          <w:p>
            <w:pPr>
              <w:spacing w:after="0"/>
              <w:rPr>
                <w:sz w:val="1"/>
                <w:szCs w:val="1"/>
                <w:color w:val="auto"/>
              </w:rPr>
            </w:pPr>
          </w:p>
        </w:tc>
      </w:tr>
      <w:tr>
        <w:trPr>
          <w:trHeight w:val="208"/>
        </w:trPr>
        <w:tc>
          <w:tcPr>
            <w:tcW w:w="54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period</w:t>
            </w:r>
          </w:p>
        </w:tc>
        <w:tc>
          <w:tcPr>
            <w:tcW w:w="3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experienced $4.2 million of net adverse reserve development in the three months ended September 30, 2020 on the reserve for losses and loss adjustment expenses held at December 31, 2019. This reserve development included $27,000 of net adverse development in the Excess and Surplus Lines segment, $2.0 million of net favorable development in the Specialty Admitted Insurance segment due to favorable development in the workers' compensation business for prior accident years, and $6.2 million of net adverse development in the Casualty Reinsurance segment due to higher than expected levels of reported losses in the quarter.</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experienced $57.0 million of net adverse reserve development in the three months ended September 30, 2019 on the reserve for losses and loss adjustment expenses held at December 31, 2018. This reserve development included $50.0 million of net adverse development in the Excess and Surplus Lines segment primarily related to the 2016 and 2017 accident years for the commercial auto business. The Specialty Admitted Insurance segment experienced $1.0 million of net favorable development due to favorable development in the workers' compensation business for prior accident years. The Company also experienced $7.9 million of net adverse development in the Casualty Reinsurance segment due to higher than expected levels of reported losses in the quarter.</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experienced $6.2 million of net adverse reserve development in the nine months ended September 30, 2020 on the reserve for losses and loss adjustment expenses held at December 31, 2019. This reserve development included $2.8 million of net favorable development in the Excess and Surplus Lines segment, $4.0 million of net favorable development in the Specialty Admitted Insurance segment due to favorable development in the workers' compensation business for prior accident years, and $13.1 million of net adverse development in the Casualty Reinsurance segment due to higher than expected levels of reported losses in the nine months ended September 30, 2020.</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experienced $60.3 million of net adverse reserve development in the nine months ended September 30, 2019 on the reserve for losses and loss adjustment expenses held at December 31, 2018. This reserve development included $51.2 million of net adverse development in the Excess and Surplus Lines segment primarily related to the 2016 and 2017 accident years for the commercial auto business. The Specialty Admitted Insurance segment experienced $4.3 million of net favorable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development due to favorable development in the workers' compensation business for prior accident years. The Company also experienced $13.3 million of net adverse development in the Casualty Reinsurance segment due to higher than expected levels of reported losses in the nine months ended September 30, 2019.</w:t>
      </w:r>
    </w:p>
    <w:p>
      <w:pPr>
        <w:spacing w:after="0" w:line="64"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components of other comprehensive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288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240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4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83"/>
        </w:trPr>
        <w:tc>
          <w:tcPr>
            <w:tcW w:w="54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5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arising during the period, before U.S. income taxes</w:t>
            </w: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6,274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54,937</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income taxes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arising during the period, net of U.S. income taxes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50,892</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reclassification adjustment:</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investment gains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income taxes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investment gains realized in net income</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5,039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50,449</w:t>
            </w:r>
          </w:p>
        </w:tc>
      </w:tr>
      <w:tr>
        <w:trPr>
          <w:trHeight w:val="21"/>
        </w:trPr>
        <w:tc>
          <w:tcPr>
            <w:tcW w:w="5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 xml:space="preserve">In addition to the $386,000 and $905,000 of net realized investment gains on available-for-sale fixed maturities for the three and nine </w:t>
      </w:r>
      <w:r>
        <w:rPr>
          <w:rFonts w:ascii="Times New Roman" w:cs="Times New Roman" w:eastAsia="Times New Roman" w:hAnsi="Times New Roman"/>
          <w:sz w:val="18"/>
          <w:szCs w:val="18"/>
          <w:color w:val="231F20"/>
        </w:rPr>
        <w:t>months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September 30, 2020, respectively ($436,000 </w:t>
      </w:r>
      <w:r>
        <w:rPr>
          <w:rFonts w:ascii="Times New Roman" w:cs="Times New Roman" w:eastAsia="Times New Roman" w:hAnsi="Times New Roman"/>
          <w:sz w:val="18"/>
          <w:szCs w:val="18"/>
          <w:color w:val="000000"/>
        </w:rPr>
        <w:t>and $539,000 of net realized investment gains for the three and nine</w:t>
      </w:r>
      <w:r>
        <w:rPr>
          <w:rFonts w:ascii="Times New Roman" w:cs="Times New Roman" w:eastAsia="Times New Roman" w:hAnsi="Times New Roman"/>
          <w:sz w:val="18"/>
          <w:szCs w:val="18"/>
          <w:color w:val="231F20"/>
        </w:rPr>
        <w:t xml:space="preserve"> months ended September 30, 2019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respectively), the Company also recognized $6.3 million of net realized and unrealized investment gains and $21.8 million of net realized and unrealized investment losses in the respective periods on its investments in bank loan participations ($6.0 million and $8.8 million of net realized investment losses in the prior year respective periods) and $2.4 million of net realized and unrealized gains and $7.1 million of net realized and unrealized losses in the respective periods on its investments in equity securities ($3.2 million and $8.6 million of net realized and unrealized gains in the prior year respective periods).</w:t>
      </w:r>
    </w:p>
    <w:p>
      <w:pPr>
        <w:spacing w:after="0" w:line="77"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its operations. The Company believes that the ultimate resolution of these matters will not materially impact its financial position, cash flows, or results of operations.</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response to the outbreak of the coronavirus pandemic in the first quarter of 2020, many state and local governments in the United States and around the world have instituted emergency restrictions that have substantially limited the operation of non-essential businesses and the activities of individuals. Many states have extended the expiration date of restrictions and some states that eased restrictions subsequently re-imposed them as the spread of COVID-19 worsened. These restrictions could result in significant adverse effects on our policyholders and many different types of small and mid-sized businesses within the Company’s client base, particularly those in the retail, hospitality and food and beverage industries, among many others. The ultimate effect and severity of COVID-19 on the economy is not known nor is the ultimate length of the restrictions and any accompanying effects caused by it. Moreover, the Federal Reserve has taken action to lower the Federal Funds rate and the U.S. equity markets have experienced substantial volatility in reaction to COVID-19 since February 2020, both of which have, along with other factors, placed pressure on net investment income and resulted in material realized and unrealized losses in our investment portfolio in the first quarter of 2020. Investment markets recovered substantially in the second and third quarters, leading to unrealized gains in our investment portfolio for those quarters.</w:t>
      </w:r>
    </w:p>
    <w:p>
      <w:pPr>
        <w:spacing w:after="0" w:line="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effect of COVID-19 and related events could have a negative effect on the Company, including as a result of quarantines, market volatility, market downturns, actions of lawmakers and regulators, changes in consumer behavior, business closures, deterioration in the credit quality of policyholders or the inability of policyholders to pay their premium and deductible obligations to the Company, and deterioration in the credit quality of reinsurers or insurance entities with which we have a fronting arrangement or the inability of insurers or the insurance entities for which we are fronting to pay their obligations to the Company. At the federal and state level, there have been proposals by lawmakers to retroactively amend business interruption insurance policies to cover claims related to COVID-19 when such insurance policies otherwise would exclude such risks. In addition, a number of states have instituted, and other states are considering instituting, changes designed to effectively expand workers’ compensation coverage by creating presumptions of compensability of claims for certain types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workers. The Company has received both business interruption and workers’ compensation claims related to COVID-19 and we expect that we will</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continue to receive claims related to COVID-19. If the efforts of lawmakers to effectively expand coverage under business interruption, workers’ compensation or other policies on a retroactive basis are successful and enforceable, the Company may be forced to pay claims under policies for which it received inadequate premiums to cover such risks, and therefore the Company’s reserves may be inadequate to pay such claims. At the state level, insurance departments throughout the country have issued bulletins and regulations urging or requiring insurers to extend grace periods for the payment of policy premiums and to refrain from canceling or non-renewing policies for the non-payment of policy premiums for policyholders adversely affected by COVID-19. While many of these requirements and recommendations have expired or are scheduled to expire in the near future, insurance departments could reinstate or extend them as conditions deteriorate and/or the negative impact of the pandemic on policyholders persists. It is uncertain what impact these government mandates may have on our ability to recover unpaid premiums on the affected policies or what our obligations may be for the payment of claims made under policies for which we have not received premium payments. Further, demand for the insurance policies that the Company offers is highly dependent upon the business environment in the markets in which the Company operates. Given the ongoing and dynamic nature of the circumstances, it is not possible to predict the ultimate impact of the coronavirus outbreak, but it could have a material adverse impact on the business prospects, financial condition or results of operations of the Company.</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JRG Re has entered into three letter of credit facilities with banks as security to third-party reinsureds on reinsurance assumed by JRG Re. JRG Re has established custodial accounts to secure these letters of credit. Under a $75.0 million facility, $12.2 million of letters of credit were issued through September 30, 2020 which were secured by deposits of $25.2 million. Under a $102.5 million facility, $76.0 million of letters of credit were issued through September 30, 2020 which were secured by deposits of $96.7 million. Under a $100.0 million facility, $17.5 million of letters of credit were issued through September 30, 2020 which were secured by deposits of $28.3 million. JRG Re has also established trust accounts to secure its obligations to selected reinsureds. The total amount deposited in the trust accounts for the benefit of third-party reinsureds was $302.1 million at September 30, 2020.</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previously issued a set of insurance contracts to Rasier LLC and its affiliates (collectively, “Rasier”) under which the Company pays losses and loss adjustment expenses on the contracts. The Company has indemnity agreements with Rasier (non-insurance entities) and is contractually entitled to receive reimbursement for a significant portion of the losses and loss adjustment expenses paid on behalf of Rasier and other expenses incurred by the Company. Rasier is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provided through a collateral trust arrangement established in favor of the Company by a captive insurance company affiliate of Rasier.</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permitted under our indemnification agreements with Rasier and the associated trust agreement, we have withdrawn the collateral posted to the trust account. At September 30, 2020, the Company held collateral funds of $940.2 million. The funds withdrawn from the trust account, currently invested in short term securities and included in restricted cash equivalents on the Company's consolidated balance sheet, will be used to reimburse the Company for the losses and loss adjustment expenses paid on behalf of Rasier and other related expenses incurred by the Company to the extent not paid as required under the indemnity agreements.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less loss and loss adjustment expenses and other operating expenses of the operating segments. Included in “other income” on the condensed consolidated statements of income (loss) and comprehensive income (loss) is gross fee income of $363,000 and $2.7 million for the three and nine </w:t>
      </w:r>
      <w:r>
        <w:rPr>
          <w:rFonts w:ascii="Times New Roman" w:cs="Times New Roman" w:eastAsia="Times New Roman" w:hAnsi="Times New Roman"/>
          <w:sz w:val="18"/>
          <w:szCs w:val="18"/>
          <w:color w:val="231F20"/>
        </w:rPr>
        <w:t>months ended September 30, 2020, respectively, ($2.3 million and</w:t>
      </w:r>
      <w:r>
        <w:rPr>
          <w:rFonts w:ascii="Times New Roman" w:cs="Times New Roman" w:eastAsia="Times New Roman" w:hAnsi="Times New Roman"/>
          <w:sz w:val="18"/>
          <w:szCs w:val="18"/>
          <w:color w:val="auto"/>
        </w:rPr>
        <w:t xml:space="preserve"> $7.3 million the three and nine </w:t>
      </w:r>
      <w:r>
        <w:rPr>
          <w:rFonts w:ascii="Times New Roman" w:cs="Times New Roman" w:eastAsia="Times New Roman" w:hAnsi="Times New Roman"/>
          <w:sz w:val="18"/>
          <w:szCs w:val="18"/>
          <w:color w:val="231F20"/>
        </w:rPr>
        <w:t>months ended September 30, 2019</w:t>
      </w:r>
      <w:r>
        <w:rPr>
          <w:rFonts w:ascii="Times New Roman" w:cs="Times New Roman" w:eastAsia="Times New Roman" w:hAnsi="Times New Roman"/>
          <w:sz w:val="18"/>
          <w:szCs w:val="18"/>
          <w:color w:val="auto"/>
        </w:rPr>
        <w:t>, respectively) that is included in underwriting profit for the respective three and nine month periods. Segment results are reported prior to the effects of intercompany reinsurance agreements among the Company’s insurance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segment results: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280" w:type="dxa"/>
            <w:vAlign w:val="bottom"/>
          </w:tcPr>
          <w:p>
            <w:pPr>
              <w:spacing w:after="0"/>
              <w:rPr>
                <w:sz w:val="13"/>
                <w:szCs w:val="13"/>
                <w:color w:val="auto"/>
              </w:rPr>
            </w:pPr>
          </w:p>
        </w:tc>
        <w:tc>
          <w:tcPr>
            <w:tcW w:w="112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60" w:type="dxa"/>
            <w:vAlign w:val="bottom"/>
          </w:tcPr>
          <w:p>
            <w:pPr>
              <w:spacing w:after="0"/>
              <w:rPr>
                <w:sz w:val="13"/>
                <w:szCs w:val="13"/>
                <w:color w:val="auto"/>
              </w:rPr>
            </w:pPr>
          </w:p>
        </w:tc>
        <w:tc>
          <w:tcPr>
            <w:tcW w:w="1200" w:type="dxa"/>
            <w:vAlign w:val="bottom"/>
            <w:vMerge w:val="restart"/>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Casualty</w:t>
            </w:r>
          </w:p>
        </w:tc>
        <w:tc>
          <w:tcPr>
            <w:tcW w:w="280" w:type="dxa"/>
            <w:vAlign w:val="bottom"/>
          </w:tcPr>
          <w:p>
            <w:pPr>
              <w:spacing w:after="0"/>
              <w:rPr>
                <w:sz w:val="13"/>
                <w:szCs w:val="13"/>
                <w:color w:val="auto"/>
              </w:rPr>
            </w:pPr>
          </w:p>
        </w:tc>
        <w:tc>
          <w:tcPr>
            <w:tcW w:w="112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92"/>
              <w:spacing w:after="0" w:line="135" w:lineRule="exact"/>
              <w:rPr>
                <w:sz w:val="20"/>
                <w:szCs w:val="20"/>
                <w:color w:val="auto"/>
              </w:rPr>
            </w:pPr>
            <w:r>
              <w:rPr>
                <w:rFonts w:ascii="Times New Roman" w:cs="Times New Roman" w:eastAsia="Times New Roman" w:hAnsi="Times New Roman"/>
                <w:sz w:val="14"/>
                <w:szCs w:val="14"/>
                <w:b w:val="1"/>
                <w:bCs w:val="1"/>
                <w:color w:val="auto"/>
              </w:rPr>
              <w:t>Surplus</w:t>
            </w:r>
          </w:p>
        </w:tc>
        <w:tc>
          <w:tcPr>
            <w:tcW w:w="280" w:type="dxa"/>
            <w:vAlign w:val="bottom"/>
          </w:tcPr>
          <w:p>
            <w:pPr>
              <w:spacing w:after="0"/>
              <w:rPr>
                <w:sz w:val="11"/>
                <w:szCs w:val="11"/>
                <w:color w:val="auto"/>
              </w:rPr>
            </w:pPr>
          </w:p>
        </w:tc>
        <w:tc>
          <w:tcPr>
            <w:tcW w:w="1120" w:type="dxa"/>
            <w:vAlign w:val="bottom"/>
          </w:tcPr>
          <w:p>
            <w:pPr>
              <w:jc w:val="center"/>
              <w:ind w:right="172"/>
              <w:spacing w:after="0" w:line="135"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2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jc w:val="center"/>
              <w:ind w:right="152"/>
              <w:spacing w:after="0" w:line="135" w:lineRule="exact"/>
              <w:rPr>
                <w:sz w:val="20"/>
                <w:szCs w:val="20"/>
                <w:color w:val="auto"/>
              </w:rPr>
            </w:pPr>
            <w:r>
              <w:rPr>
                <w:rFonts w:ascii="Times New Roman" w:cs="Times New Roman" w:eastAsia="Times New Roman" w:hAnsi="Times New Roman"/>
                <w:sz w:val="14"/>
                <w:szCs w:val="14"/>
                <w:b w:val="1"/>
                <w:bCs w:val="1"/>
                <w:color w:val="auto"/>
              </w:rPr>
              <w:t>and</w:t>
            </w:r>
          </w:p>
        </w:tc>
        <w:tc>
          <w:tcPr>
            <w:tcW w:w="400" w:type="dxa"/>
            <w:vAlign w:val="bottom"/>
          </w:tcPr>
          <w:p>
            <w:pPr>
              <w:spacing w:after="0"/>
              <w:rPr>
                <w:sz w:val="11"/>
                <w:szCs w:val="11"/>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Lines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179,458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112,589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19,805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311,852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104,933</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14,985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33,044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152,962</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 (loss) of insurance segments</w:t>
            </w:r>
          </w:p>
        </w:tc>
        <w:tc>
          <w:tcPr>
            <w:tcW w:w="2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15,581</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1,859</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10,033</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2,129</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112,800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16,843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47,385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437</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177,465</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181,831</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2,243,065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877,619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1,806,341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57,328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4,984,353</w:t>
            </w: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241,045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100,459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46,724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388,228</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164,759</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14,242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34,373</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213,374</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(loss) profit of insurance segments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(29,351)</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837</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3,467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11,717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2,594</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170,734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16,493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42,403</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1,844</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231,474</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181,831</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1,186,094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773,677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1,631,569</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69,576</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3,660,916</w:t>
            </w: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502,649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303,831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90,852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897,332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305,521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42,660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99,514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447,695</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 (loss) of insurance segments</w:t>
            </w:r>
          </w:p>
        </w:tc>
        <w:tc>
          <w:tcPr>
            <w:tcW w:w="2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39,788</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2,301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15,028</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2,547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32,171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1,399</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51,145</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7,970</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309,972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45,386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117,459</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474,498</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181,831</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2,243,065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877,619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1,806,341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57,328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4,984,353</w:t>
            </w: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687,871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292,884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114,810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1,095,565</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457,352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39,688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105,600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602,640</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(loss) profit of insurance segments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3,758</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13,240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34,875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3,938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54,844</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8,086</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481,745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45,169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134,731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4,330</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665,975</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181,831</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1,186,094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773,677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1,631,569</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69,576</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3,660,916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reconciles the underwriting profit (loss) of the operating segments by individual segment to consolidated income before taxes: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580" w:type="dxa"/>
            <w:vAlign w:val="bottom"/>
            <w:gridSpan w:val="3"/>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0" w:type="dxa"/>
            <w:vAlign w:val="bottom"/>
          </w:tcPr>
          <w:p>
            <w:pPr>
              <w:spacing w:after="0"/>
              <w:rPr>
                <w:sz w:val="1"/>
                <w:szCs w:val="1"/>
                <w:color w:val="auto"/>
              </w:rPr>
            </w:pPr>
          </w:p>
        </w:tc>
      </w:tr>
      <w:tr>
        <w:trPr>
          <w:trHeight w:val="183"/>
        </w:trPr>
        <w:tc>
          <w:tcPr>
            <w:tcW w:w="5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profit (loss) of the insurance segments: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(29,351)</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39,788</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Casualty Reinsurance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underwriting profit (loss) of insurance segments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(22,641)</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profit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54,844</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and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Other Operating Expenses and Other Expenses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5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operating expenses consist of the following:</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23"/>
                <w:szCs w:val="23"/>
                <w:color w:val="auto"/>
              </w:rPr>
            </w:pPr>
          </w:p>
        </w:tc>
        <w:tc>
          <w:tcPr>
            <w:tcW w:w="1580" w:type="dxa"/>
            <w:vAlign w:val="bottom"/>
            <w:gridSpan w:val="3"/>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5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0" w:type="dxa"/>
            <w:vAlign w:val="bottom"/>
          </w:tcPr>
          <w:p>
            <w:pPr>
              <w:spacing w:after="0"/>
              <w:rPr>
                <w:sz w:val="1"/>
                <w:szCs w:val="1"/>
                <w:color w:val="auto"/>
              </w:rPr>
            </w:pPr>
          </w:p>
        </w:tc>
      </w:tr>
      <w:tr>
        <w:trPr>
          <w:trHeight w:val="183"/>
        </w:trPr>
        <w:tc>
          <w:tcPr>
            <w:tcW w:w="5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63,029</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underwriting expenses of the operating segments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22,641</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133,242</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132,287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Other expenses of $60,000 and $1.8 million for the three and nine </w:t>
      </w:r>
      <w:r>
        <w:rPr>
          <w:rFonts w:ascii="Times New Roman" w:cs="Times New Roman" w:eastAsia="Times New Roman" w:hAnsi="Times New Roman"/>
          <w:sz w:val="18"/>
          <w:szCs w:val="18"/>
          <w:color w:val="231F20"/>
        </w:rPr>
        <w:t>months ended September 30, 2020 ($372,000 and $1.1 million</w:t>
      </w:r>
      <w:r>
        <w:rPr>
          <w:rFonts w:ascii="Times New Roman" w:cs="Times New Roman" w:eastAsia="Times New Roman" w:hAnsi="Times New Roman"/>
          <w:sz w:val="18"/>
          <w:szCs w:val="18"/>
          <w:color w:val="auto"/>
        </w:rPr>
        <w:t xml:space="preserve"> for the three and nine </w:t>
      </w:r>
      <w:r>
        <w:rPr>
          <w:rFonts w:ascii="Times New Roman" w:cs="Times New Roman" w:eastAsia="Times New Roman" w:hAnsi="Times New Roman"/>
          <w:sz w:val="18"/>
          <w:szCs w:val="18"/>
          <w:color w:val="231F20"/>
        </w:rPr>
        <w:t>months ended September 30, 2019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primarily </w:t>
      </w:r>
      <w:r>
        <w:rPr>
          <w:rFonts w:ascii="Times New Roman" w:cs="Times New Roman" w:eastAsia="Times New Roman" w:hAnsi="Times New Roman"/>
          <w:sz w:val="18"/>
          <w:szCs w:val="18"/>
          <w:color w:val="000000"/>
        </w:rPr>
        <w:t>consist of employee severance costs.</w:t>
      </w:r>
    </w:p>
    <w:p>
      <w:pPr>
        <w:spacing w:after="0" w:line="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measure fair value, the Company obtains quoted market prices for its investment securities from its outside investment managers, who utilize independent pricing services. If a quoted market price is not available, the Company uses prices of similar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2018.</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reviews fair value prices provided by its outside investment managers for reasonableness by comparing the fair values provided by the managers to those provided by its investment custodian or other alternative sources.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managers that obtain fair values from independent pricing services.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September 30, 2020 are summarized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1"/>
                <w:szCs w:val="11"/>
                <w:color w:val="auto"/>
              </w:rPr>
            </w:pPr>
          </w:p>
        </w:tc>
        <w:tc>
          <w:tcPr>
            <w:tcW w:w="102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288,596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306,469</w:t>
            </w: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776,955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335,834</w:t>
            </w:r>
          </w:p>
        </w:tc>
        <w:tc>
          <w:tcPr>
            <w:tcW w:w="0" w:type="dxa"/>
            <w:vAlign w:val="bottom"/>
          </w:tcPr>
          <w:p>
            <w:pPr>
              <w:spacing w:after="0"/>
              <w:rPr>
                <w:sz w:val="1"/>
                <w:szCs w:val="1"/>
                <w:color w:val="auto"/>
              </w:rPr>
            </w:pPr>
          </w:p>
        </w:tc>
      </w:tr>
      <w:tr>
        <w:trPr>
          <w:trHeight w:val="176"/>
        </w:trPr>
        <w:tc>
          <w:tcPr>
            <w:tcW w:w="554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103,130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103,594</w:t>
            </w:r>
          </w:p>
        </w:tc>
        <w:tc>
          <w:tcPr>
            <w:tcW w:w="0" w:type="dxa"/>
            <w:vAlign w:val="bottom"/>
          </w:tcPr>
          <w:p>
            <w:pPr>
              <w:spacing w:after="0"/>
              <w:rPr>
                <w:sz w:val="1"/>
                <w:szCs w:val="1"/>
                <w:color w:val="auto"/>
              </w:rPr>
            </w:pPr>
          </w:p>
        </w:tc>
      </w:tr>
      <w:tr>
        <w:trPr>
          <w:trHeight w:val="229"/>
        </w:trPr>
        <w:tc>
          <w:tcPr>
            <w:tcW w:w="5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government</w:t>
            </w: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1,710,341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1,813,471</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65,576</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0" w:type="dxa"/>
            <w:vAlign w:val="bottom"/>
          </w:tcPr>
          <w:p>
            <w:pPr>
              <w:spacing w:after="0"/>
              <w:rPr>
                <w:sz w:val="1"/>
                <w:szCs w:val="1"/>
                <w:color w:val="auto"/>
              </w:rPr>
            </w:pPr>
          </w:p>
        </w:tc>
      </w:tr>
      <w:tr>
        <w:trPr>
          <w:trHeight w:val="196"/>
        </w:trPr>
        <w:tc>
          <w:tcPr>
            <w:tcW w:w="5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equity securities</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9,305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70,591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79,896</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131,198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71,986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71,986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2019 are summarized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20" w:type="dxa"/>
            <w:vAlign w:val="bottom"/>
          </w:tcPr>
          <w:p>
            <w:pPr>
              <w:spacing w:after="0"/>
              <w:rPr>
                <w:sz w:val="11"/>
                <w:szCs w:val="11"/>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1"/>
                <w:szCs w:val="11"/>
                <w:color w:val="auto"/>
              </w:rPr>
            </w:pPr>
          </w:p>
        </w:tc>
        <w:tc>
          <w:tcPr>
            <w:tcW w:w="12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1"/>
                <w:szCs w:val="11"/>
                <w:color w:val="auto"/>
              </w:rPr>
            </w:pPr>
          </w:p>
        </w:tc>
        <w:tc>
          <w:tcPr>
            <w:tcW w:w="12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1"/>
                <w:szCs w:val="11"/>
                <w:color w:val="auto"/>
              </w:rPr>
            </w:pPr>
          </w:p>
        </w:tc>
        <w:tc>
          <w:tcPr>
            <w:tcW w:w="12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167,101</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264,146</w:t>
            </w: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632,221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252,457</w:t>
            </w:r>
          </w:p>
        </w:tc>
        <w:tc>
          <w:tcPr>
            <w:tcW w:w="0" w:type="dxa"/>
            <w:vAlign w:val="bottom"/>
          </w:tcPr>
          <w:p>
            <w:pPr>
              <w:spacing w:after="0"/>
              <w:rPr>
                <w:sz w:val="1"/>
                <w:szCs w:val="1"/>
                <w:color w:val="auto"/>
              </w:rPr>
            </w:pPr>
          </w:p>
        </w:tc>
      </w:tr>
      <w:tr>
        <w:trPr>
          <w:trHeight w:val="176"/>
        </w:trPr>
        <w:tc>
          <w:tcPr>
            <w:tcW w:w="554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115,173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115,667</w:t>
            </w:r>
          </w:p>
        </w:tc>
        <w:tc>
          <w:tcPr>
            <w:tcW w:w="0" w:type="dxa"/>
            <w:vAlign w:val="bottom"/>
          </w:tcPr>
          <w:p>
            <w:pPr>
              <w:spacing w:after="0"/>
              <w:rPr>
                <w:sz w:val="1"/>
                <w:szCs w:val="1"/>
                <w:color w:val="auto"/>
              </w:rPr>
            </w:pPr>
          </w:p>
        </w:tc>
      </w:tr>
      <w:tr>
        <w:trPr>
          <w:trHeight w:val="229"/>
        </w:trPr>
        <w:tc>
          <w:tcPr>
            <w:tcW w:w="5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government</w:t>
            </w: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1,318,453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1,433,626</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62,747</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0" w:type="dxa"/>
            <w:vAlign w:val="bottom"/>
          </w:tcPr>
          <w:p>
            <w:pPr>
              <w:spacing w:after="0"/>
              <w:rPr>
                <w:sz w:val="1"/>
                <w:szCs w:val="1"/>
                <w:color w:val="auto"/>
              </w:rPr>
            </w:pPr>
          </w:p>
        </w:tc>
      </w:tr>
      <w:tr>
        <w:trPr>
          <w:trHeight w:val="196"/>
        </w:trPr>
        <w:tc>
          <w:tcPr>
            <w:tcW w:w="5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equity securities</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14,669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66,023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90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80,735</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156,925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reconciliation of the beginning and ending balances of available-for-sale fixed maturity securities, equity securities, and bank loan participations measured at fair value on a recurring basis (as a result of the fair value option effective January 1, 2020) using significant unobservable inputs (Level 3) is shown below:</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Borders>
              <w:bottom w:val="single" w:sz="8" w:color="auto"/>
            </w:tcBorders>
          </w:tcPr>
          <w:p>
            <w:pPr>
              <w:spacing w:after="0"/>
              <w:rPr>
                <w:sz w:val="16"/>
                <w:szCs w:val="16"/>
                <w:color w:val="auto"/>
              </w:rPr>
            </w:pPr>
          </w:p>
        </w:tc>
      </w:tr>
      <w:tr>
        <w:trPr>
          <w:trHeight w:val="188"/>
        </w:trPr>
        <w:tc>
          <w:tcPr>
            <w:tcW w:w="552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183"/>
        </w:trPr>
        <w:tc>
          <w:tcPr>
            <w:tcW w:w="55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60" w:type="dxa"/>
            <w:vAlign w:val="bottom"/>
            <w:tcBorders>
              <w:top w:val="single" w:sz="8" w:color="auto"/>
            </w:tcBorders>
          </w:tcPr>
          <w:p>
            <w:pPr>
              <w:spacing w:after="0"/>
              <w:rPr>
                <w:sz w:val="15"/>
                <w:szCs w:val="15"/>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in to Level 3</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4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Maturities, calls and paydowns</w:t>
            </w:r>
          </w:p>
        </w:tc>
        <w:tc>
          <w:tcPr>
            <w:tcW w:w="4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discount</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gains or losses (realized/unrealized):</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Included in earnings</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4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2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 xml:space="preserve">The Company held one available-for-sale fixed maturity security at December 31, 2018 for which the fair value was determined using significant unobservable inputs (Level 3). A market approach using prices in trades of comparable securities was utilized to determine a fair value of $4.2 million for the security at December 31, 2018. The Company was able to obtain a quoted price from a pricing vendor for the available-for-sale fixed maturity security at March 31, 2019 and it was transferred to Level 2. At June 30, 2019, the Company held two equity securities for which the fair value was determined using significant unobservable inputs (Level 3). In the three months ended June 30, 2019, one equity security was transferred from Level 1 to Level 3 as the security was no longer actively traded. In the three months ended </w:t>
      </w:r>
      <w:r>
        <w:rPr>
          <w:rFonts w:ascii="Times New Roman" w:cs="Times New Roman" w:eastAsia="Times New Roman" w:hAnsi="Times New Roman"/>
          <w:sz w:val="18"/>
          <w:szCs w:val="18"/>
          <w:color w:val="231F20"/>
        </w:rPr>
        <w:t>September 30, 2019, one equity security was transferred from Level 3 to Level 2 as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Company was able to obtain a quoted price from a pricing vendor for the equity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security at September 30, 2019. At September 30, 2019, the Company held one equity security for which the fair value was determined using significant unobservable inputs (Level 3) </w:t>
      </w:r>
      <w:r>
        <w:rPr>
          <w:rFonts w:ascii="Times New Roman" w:cs="Times New Roman" w:eastAsia="Times New Roman" w:hAnsi="Times New Roman"/>
          <w:sz w:val="18"/>
          <w:szCs w:val="18"/>
          <w:color w:val="000000"/>
        </w:rPr>
        <w:t>A market approach using prices in trades of comparable securities was utilized to determine a fair value for the equity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securities of $44,000 at </w:t>
      </w:r>
      <w:r>
        <w:rPr>
          <w:rFonts w:ascii="Times New Roman" w:cs="Times New Roman" w:eastAsia="Times New Roman" w:hAnsi="Times New Roman"/>
          <w:sz w:val="18"/>
          <w:szCs w:val="18"/>
          <w:color w:val="231F20"/>
        </w:rPr>
        <w:t>September 30, 2019.</w:t>
      </w:r>
    </w:p>
    <w:p>
      <w:pPr>
        <w:spacing w:after="0" w:line="68"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At September 30, 2020, the Company held one bank loan participation and one equity security for which the fair value was determined using significant unobservable inputs (Level 3). The Company was able to obtain a quoted price from a pricing vendor for two bank loan participations at June 30, 2020 and transferred them to Level 2. During the three months ended September 30, 2020, the Company was able to obtain a quoted price from a pricing vendor for one equity security and transferred it to Level 2. At December 31, 2019, the Company held one equity security for which the fair value was determined using significant unobservable inputs (Level 3). A market approach using prices in trades of comparable securities was utilized to determine a fair value for the securities of $308,000 at September 30, 2020 and $43,000 at December 31, 2019.</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during the three months or nine months ended September 30, 2020 or 2019. The Company recognizes transfers between levels at the beginning of the reporting period.</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In connection with the adoption of ASU 2016-13, the Company elected the fair value option in accounting for bank loan participations effective January 1, 2020. Prior to the election, bank loan participations were classified as held-for-investment and carried at amortized cost net of any allowance for credit losses. Prior to January 1, 2020, t</w:t>
      </w:r>
      <w:r>
        <w:rPr>
          <w:rFonts w:ascii="Times New Roman" w:cs="Times New Roman" w:eastAsia="Times New Roman" w:hAnsi="Times New Roman"/>
          <w:sz w:val="18"/>
          <w:szCs w:val="18"/>
          <w:color w:val="000000"/>
        </w:rPr>
        <w:t>he Company measured certain bank loan participations at fair value on a non-recurring basis as part of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Company’s impairment evaluation when loans were determined by management to be impaired. Bank loan participations held-for-investment that were determined to be impaired were written down to their fair value </w:t>
      </w:r>
      <w:r>
        <w:rPr>
          <w:rFonts w:ascii="Times New Roman" w:cs="Times New Roman" w:eastAsia="Times New Roman" w:hAnsi="Times New Roman"/>
          <w:sz w:val="18"/>
          <w:szCs w:val="18"/>
          <w:color w:val="231F20"/>
        </w:rPr>
        <w:t>a</w:t>
      </w:r>
      <w:r>
        <w:rPr>
          <w:rFonts w:ascii="Times New Roman" w:cs="Times New Roman" w:eastAsia="Times New Roman" w:hAnsi="Times New Roman"/>
          <w:sz w:val="18"/>
          <w:szCs w:val="18"/>
          <w:color w:val="000000"/>
        </w:rPr>
        <w:t>t December 31, 2019 as shown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3"/>
          </w:tcPr>
          <w:p>
            <w:pPr>
              <w:jc w:val="center"/>
              <w:ind w:right="46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400" w:type="dxa"/>
            <w:vAlign w:val="bottom"/>
            <w:gridSpan w:val="3"/>
          </w:tcPr>
          <w:p>
            <w:pPr>
              <w:jc w:val="center"/>
              <w:ind w:right="50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3"/>
          </w:tcPr>
          <w:p>
            <w:pPr>
              <w:jc w:val="center"/>
              <w:ind w:right="460"/>
              <w:spacing w:after="0" w:line="13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400" w:type="dxa"/>
            <w:vAlign w:val="bottom"/>
            <w:gridSpan w:val="3"/>
          </w:tcPr>
          <w:p>
            <w:pPr>
              <w:jc w:val="center"/>
              <w:ind w:right="50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3"/>
          </w:tcPr>
          <w:p>
            <w:pPr>
              <w:jc w:val="center"/>
              <w:ind w:right="48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00" w:type="dxa"/>
            <w:vAlign w:val="bottom"/>
            <w:gridSpan w:val="3"/>
          </w:tcPr>
          <w:p>
            <w:pPr>
              <w:jc w:val="center"/>
              <w:ind w:right="50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3"/>
          </w:tcPr>
          <w:p>
            <w:pPr>
              <w:jc w:val="center"/>
              <w:ind w:right="460"/>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0" w:type="dxa"/>
            <w:vAlign w:val="bottom"/>
            <w:gridSpan w:val="3"/>
          </w:tcPr>
          <w:p>
            <w:pPr>
              <w:jc w:val="center"/>
              <w:ind w:right="52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1"/>
                <w:szCs w:val="11"/>
                <w:color w:val="auto"/>
              </w:rPr>
            </w:pPr>
          </w:p>
        </w:tc>
        <w:tc>
          <w:tcPr>
            <w:tcW w:w="10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loan participations held-for-investment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6,949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determination of the fair value for bank loan participations,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September 30, 2020 and December 31, 2019, there were no investments for which external sources were unavailable to determine fair value.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values and fair values of financial instruments are summarized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5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right"/>
              <w:ind w:right="335"/>
              <w:spacing w:after="0" w:line="13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tcPr>
          <w:p>
            <w:pPr>
              <w:spacing w:after="0"/>
              <w:rPr>
                <w:sz w:val="11"/>
                <w:szCs w:val="11"/>
                <w:color w:val="auto"/>
              </w:rPr>
            </w:pPr>
          </w:p>
        </w:tc>
        <w:tc>
          <w:tcPr>
            <w:tcW w:w="980" w:type="dxa"/>
            <w:vAlign w:val="bottom"/>
          </w:tcPr>
          <w:p>
            <w:pPr>
              <w:jc w:val="right"/>
              <w:ind w:right="315"/>
              <w:spacing w:after="0" w:line="13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1"/>
                <w:szCs w:val="11"/>
                <w:color w:val="auto"/>
              </w:rPr>
            </w:pPr>
          </w:p>
        </w:tc>
        <w:tc>
          <w:tcPr>
            <w:tcW w:w="11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1,813,471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1,813,471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1,433,626</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1,433,626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79,896</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80,735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80,735</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131,198</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260,864</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252,423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139,969</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206,912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206,912</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940,221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1,199,164</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1,199,164</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71,986</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156,925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156,925</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invested assets – notes receivable</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13,250</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18,756</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217,300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158,300</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158,043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debt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104,055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104,055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122,193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fixed maturity securities, equity securities, and bank loan participations have been determined by independent pricing services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other invested assets-notes receivable, senior debt, and junior subordinated debt at September 30, 2020 and December 31, 2019 were determined by calculating the present value of expected future cash flows under the terms of the note agreements or debt agreements, as applicable, discounted at an estimated market rate of interest at September 30, 2020 and December 31, 2019, respectively.</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senior debt and junior subordinated debt at September 30, 2020 and December 31, 2019 were determined using inputs to the valuation methodology that are unobservable (Level 3).</w:t>
      </w:r>
    </w:p>
    <w:p>
      <w:pPr>
        <w:spacing w:after="0" w:line="50"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Debt</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three months ended March 31, 2020, the Company drew $60.0 million on the $212.5 million unsecured revolving facility in its $315.0 million senior revolving credit facility (as amended or amended and restated, the "2013 Facility”). The borrowing was a precautionary measure to increase the Company's cash position and preserve financial flexibility in light of uncertainty in the global markets resulting from the coronavirus (COVID-19) outbreak. The Company repaid $30.0 million in the three months ended June 30, 2020. At September 30, 2020, the Company had a drawn balance of $163.3 million outstanding on the unsecured revolver. The 2013 Facility contains certain financial and other covenants (including minimum net worth, maximum ratio of total adjusted debt outstanding to total capitalization, and financial strength ratings) with which the Company was in compliance at September 30, 2020.</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Also in the three months ended March 31, 2020, the Company drew $59.0 million of unsecured capacity on a credit agreement (the "2017 Facility") that provides the Company with a revolving line of credit of up to $100.0 million, which may be used for loans and letters of credit made or issued, at the borrowers' option, on a secured or unsecured basis. The borrowing was a precautionary measure to increase the Company's cash position and preserve financial flexibility in light of uncertainty in the global markets resulting from the coronavirus (COVID-19) outbreak. The Company repaid $30.0 million in the three months ended June 30, 2020. At September 30, 2020, unsecured loans of $39.0 million and secured letters of credit totaling $17.5 million were outstanding under the facility. The 2017 Facility contains certain financial and other covenants which the Company was in compliance with at September 30, 2020.</w:t>
      </w:r>
    </w:p>
    <w:p>
      <w:pPr>
        <w:spacing w:after="0" w:line="7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Capital Stock and Equity Awards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issued 185,762 common shares in the nine months ended September 30, 2020. 79,615 of the new shares were related stock option exercises and 106,147 were related vesting of restricted share units (“RSUs”). The total common shares outstanding increased from 30,424,391 at December 31, 2019 to 30,610,153 at September 30, 2020.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declared the following dividends during the first nine months of 2020 and 2019:</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Date of Declaration</w:t>
            </w:r>
          </w:p>
        </w:tc>
        <w:tc>
          <w:tcPr>
            <w:tcW w:w="180" w:type="dxa"/>
            <w:vAlign w:val="bottom"/>
          </w:tcPr>
          <w:p>
            <w:pPr>
              <w:spacing w:after="0"/>
              <w:rPr>
                <w:sz w:val="16"/>
                <w:szCs w:val="16"/>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Dividend per</w:t>
            </w: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Payable to Shareholders of</w:t>
            </w:r>
          </w:p>
        </w:tc>
        <w:tc>
          <w:tcPr>
            <w:tcW w:w="2100" w:type="dxa"/>
            <w:vAlign w:val="bottom"/>
            <w:vMerge w:val="restart"/>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Payment Date</w:t>
            </w:r>
          </w:p>
        </w:tc>
        <w:tc>
          <w:tcPr>
            <w:tcW w:w="200" w:type="dxa"/>
            <w:vAlign w:val="bottom"/>
          </w:tcPr>
          <w:p>
            <w:pPr>
              <w:spacing w:after="0"/>
              <w:rPr>
                <w:sz w:val="16"/>
                <w:szCs w:val="16"/>
                <w:color w:val="auto"/>
              </w:rPr>
            </w:pPr>
          </w:p>
        </w:tc>
        <w:tc>
          <w:tcPr>
            <w:tcW w:w="134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Total Amount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on</w:t>
            </w:r>
          </w:p>
        </w:tc>
        <w:tc>
          <w:tcPr>
            <w:tcW w:w="2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0" w:type="dxa"/>
            <w:vAlign w:val="bottom"/>
          </w:tcPr>
          <w:p>
            <w:pPr>
              <w:spacing w:after="0"/>
              <w:rPr>
                <w:sz w:val="1"/>
                <w:szCs w:val="1"/>
                <w:color w:val="auto"/>
              </w:rPr>
            </w:pPr>
          </w:p>
        </w:tc>
      </w:tr>
      <w:tr>
        <w:trPr>
          <w:trHeight w:val="272"/>
        </w:trPr>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7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19, 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16, 2020</w:t>
            </w:r>
          </w:p>
        </w:tc>
        <w:tc>
          <w:tcPr>
            <w:tcW w:w="210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March 31, 2020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28, 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2020</w:t>
            </w:r>
          </w:p>
        </w:tc>
        <w:tc>
          <w:tcPr>
            <w:tcW w:w="210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June 30, 2020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28,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210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9"/>
              </w:rPr>
              <w:t>September 30,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72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 2019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2019</w:t>
            </w:r>
          </w:p>
        </w:tc>
        <w:tc>
          <w:tcPr>
            <w:tcW w:w="210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March 29, 2019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10, 2019</w:t>
            </w:r>
          </w:p>
        </w:tc>
        <w:tc>
          <w:tcPr>
            <w:tcW w:w="210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9"/>
              </w:rPr>
              <w:t>June 28, 2019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July 30, 2019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3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16, 2019</w:t>
            </w:r>
          </w:p>
        </w:tc>
        <w:tc>
          <w:tcPr>
            <w:tcW w:w="2100" w:type="dxa"/>
            <w:vAlign w:val="bottom"/>
            <w:tcBorders>
              <w:bottom w:val="single" w:sz="8" w:color="CCEEFF"/>
            </w:tcBorders>
          </w:tcPr>
          <w:p>
            <w:pPr>
              <w:jc w:val="center"/>
              <w:ind w:right="91"/>
              <w:spacing w:after="0"/>
              <w:rPr>
                <w:sz w:val="20"/>
                <w:szCs w:val="20"/>
                <w:color w:val="auto"/>
              </w:rPr>
            </w:pPr>
            <w:r>
              <w:rPr>
                <w:rFonts w:ascii="Times New Roman" w:cs="Times New Roman" w:eastAsia="Times New Roman" w:hAnsi="Times New Roman"/>
                <w:sz w:val="18"/>
                <w:szCs w:val="18"/>
                <w:color w:val="auto"/>
                <w:w w:val="99"/>
              </w:rPr>
              <w:t>September 30, 2019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Included in the total dividends for the nine months ended September 30, 2020 and 2019 are $329,000 and $327,000, respectively, of dividend equivalents on unvested RSUs. The balance of dividends payable on unvested RSUs was $600,000 at September 30, 2020 and $623,000 at December 31, 2019.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Options are outstanding under the Legacy Plan; however, no additional awards may be granted.</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September 30, 2020, 1,401,535 shares are available for grant.</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Non-employee directors of the Company are eligible to receive non-qualified stock options, share appreciation rights, performance shares, restricted shares, RSUs, and other awards under the 2014 Director Plan. At the 2019 Annual General Meeting of Shareholders of the Company held on April 30, 2019, the Company's shareholders approved an amendment to the 2014 Director Plan. The Board of Directors of the Company had previously approved the amendment. The amendment increased the number of the Company's common shares authorized for issuance under the 2014 Director Plan by 100,000 shares. The maximum number of shares available for issuance under the 2014 Director Plan is 150,000, and at September 30, 2020, 101,746 shares are available for grant.</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option activity: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8"/>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7"/>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3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643,851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1,115,324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(450,514)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564,236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652,752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end of period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564,236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599,241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All of the outstanding options vest over three to four years and have a contractual life of seven years from the original date of grant. All of the outstanding options have an exercise price equal to the fair value of the underlying shares at the date of grant. The weighted-average remaining contractual life of the options outstanding and exercisable at September 30, 2020 was 2.2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activity: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9"/>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8"/>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3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beginning of period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340,368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300,142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(156,434)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(16,846)</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end of period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364,606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363,563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vesting period of RSUs granted to employees range from one to three years and vest ratably over the respective vesting period, and the majority vest in three years. All RSUs granted to date to non-employee directors had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Share based compensation expense is recognized on a straight line basis over the vesting period. The amount of expense and related tax benefit is summarized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260" w:type="dxa"/>
            <w:vAlign w:val="bottom"/>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80" w:type="dxa"/>
            <w:vAlign w:val="bottom"/>
            <w:gridSpan w:val="2"/>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54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40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2"/>
              </w:rPr>
              <w:t>2019</w:t>
            </w:r>
          </w:p>
        </w:tc>
      </w:tr>
      <w:tr>
        <w:trPr>
          <w:trHeight w:val="182"/>
        </w:trPr>
        <w:tc>
          <w:tcPr>
            <w:tcW w:w="5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gridSpan w:val="2"/>
          </w:tcPr>
          <w:p>
            <w:pPr>
              <w:jc w:val="center"/>
              <w:ind w:left="76"/>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8"/>
              </w:rPr>
              <w:t>2,097</w:t>
            </w:r>
          </w:p>
        </w:tc>
        <w:tc>
          <w:tcPr>
            <w:tcW w:w="9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5,874</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 benefit on share based compensation expense</w:t>
            </w:r>
          </w:p>
        </w:tc>
        <w:tc>
          <w:tcPr>
            <w:tcW w:w="820" w:type="dxa"/>
            <w:vAlign w:val="bottom"/>
          </w:tcPr>
          <w:p>
            <w:pPr>
              <w:spacing w:after="0"/>
              <w:rPr>
                <w:sz w:val="20"/>
                <w:szCs w:val="20"/>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287</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62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786</w:t>
            </w:r>
          </w:p>
        </w:tc>
        <w:tc>
          <w:tcPr>
            <w:tcW w:w="6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the Company had $10.7 million of unrecognized share based compensation expense expected to be charged to earnings over a weighted-average period of 1.8 years.</w:t>
      </w:r>
    </w:p>
    <w:p>
      <w:pPr>
        <w:spacing w:after="0" w:line="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28, 2020, the Board of Directors declared a cash dividend of $0.30 per common share. The dividend is payable on December 31, 2020 to shareholders of record on December 14, 2020.</w:t>
      </w:r>
    </w:p>
    <w:p>
      <w:pPr>
        <w:spacing w:after="0" w:line="5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October 28, 2020, the Company announced the retirement of its Chief Executive Officer, J. Adam Abram, and the appointment of Frank D’Orazio as Chief Executive Officer, effective as of November 2, 2020. Mr. Abram’s retirement will be effective November 1, 2020, but he will continue to serve on the Company’s Board of Directors as non-executive chairman.</w:t>
      </w:r>
    </w:p>
    <w:p>
      <w:pPr>
        <w:spacing w:after="0" w:line="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28, 2020, the Board of Directors granted awards under the 2014 LTIP to the Company’s employees. RSUs for 12,421 shares were awarded with a fair value on the date of grant of $52.33 per share. The RSUs vest over three years.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and Part II, Item 1A “Risk Factors” in this Quarterly Report on Form 10-Q, or “Quarterly Report”, and Part I, Item 1A “Risk Factors” in our Annual Report on Form 10-K for the year ended December 31, 2019. The results of operations for the three and nine months ended September 30, 2020 are not necessarily indicative of the results that may be expected for the full year ending December 31, 2020, or for any other future period. The following discussion should be read in conjunction with the unaudited condensed consolidated financial statements and the notes thereto included in Part I, Item 1 of this Quarterly Report, and in conjunction with our Annual Report on Form 10-K for the year ended December 31, 2019.</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consistently earning profits from insurance and reinsurance underwriting and generating meaningful risk-adjusted investment returns while managing our capital opportunistically.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organized into four reportable segments, which are separately managed business units:</w:t>
      </w:r>
    </w:p>
    <w:p>
      <w:pPr>
        <w:spacing w:after="0" w:line="117" w:lineRule="exact"/>
        <w:rPr>
          <w:sz w:val="20"/>
          <w:szCs w:val="20"/>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67"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Specialty Admitted Insurance segment approaches the insurance market in two ways: as a risk bearing underwriter, and as a “fronting” company. The Company’s risk bearing underwriting is focused on niche classes within the standard insurance markets, such as workers’ compensation coverage for residential contractors, light manufacturing operations, transportation workers and healthcare workers. In its fronting business, the Specialty Admitted segment works with distributors, such as MGAs and other producers, by using our licensure, rating and administrative services in order to produce and service insurance policies for reinsurers and other third party risk bearing entities. We charge fees for “fronting” for these capital providers. In some instances, we retain a small percentage of the risk on fronted business. This segment has admitted licenses and the authority to write excess and surplus lines insurance in 50 states and the District of Columbia;</w:t>
      </w:r>
    </w:p>
    <w:p>
      <w:pPr>
        <w:spacing w:after="0" w:line="7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Casualty Reinsurance segment primarily provides proportional and working layer casualty reinsurance to third parties (primarily through reinsurance intermediaries) and stop loss reinsurance to Carolina Re Ltd (“Carolina Re”), through JRG Reinsurance Company Ltd. (“JRG Re”), both Bermuda-based reinsurance companies. JRG Re has also in the past provided reinsurance to the Company's U.S. based insurance subsidiaries through a quota-share reinsurance agreement; Carolina Re was formed in 2018 to do this as well; and</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insurance and reinsurance subsidiaries have financial strength ratings of “A” (Excellent) from A.M. Best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most critical accounting policies involve significant estimates and include those used in determining the reserve for losses and loss adjustment expenses, investment valuation and impairment, and assumed reinsurance premiums. For a detailed discussion of each of these policies, refer to our Annual Report on Form 10-K for the year ended December 31, 2019. There have been no significant changes to any of these policies during the current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121"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Company is continually monitoring the impact that the outbreak of the coronavirus (COVID-19) pandemic may be having on the Company’s financial condition and results of operations. The Company closed its offices except for certain essential functions, and directed its employees to work from their homes or other locations where they could ‘shelter in place’. While the Company’s investment portfolio was impacted by the volatility in the global financial markets during the first quarter of this year as discussed in “-Results of Operations-Investing Results” in the Quarterly Report on Form 10-Q for the quarterly period ended March 31, 2020, filed with the SEC on April 30, 2020, investment markets recovered substantially in the second and third quarters, leading to unrealized gains in our investment portfolio for those quarters. To date the Company has not experienced a decline in gross written premiums or a material increase in total claims as a result of the coronavirus pandemic. However, in light of the uncertainty in the global financial markets resulting from COVID-19, the Company has taken precautionary measures to preserve financial flexibility by borrowing under its existing credit facilities as discussed in “-Liquidity and Capital Resources-Sources and Uses of Funds”, and the Company is continually evaluating whether additional measures may be prudent to protect the Company’s financial condition and results of operations in the current economic environment. In addition, we are closely monitoring a number of risks that COVID-19 poses to the Company’s financial condition and results of operations. For a description of these risks, see “Part II-Item 1A. Risk Factors”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3"/>
                <w:szCs w:val="13"/>
                <w:color w:val="auto"/>
              </w:rPr>
            </w:pPr>
          </w:p>
        </w:tc>
        <w:tc>
          <w:tcPr>
            <w:tcW w:w="258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gridSpan w:val="2"/>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311,852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388,228</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(19.7)%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897,332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1,095,565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Net retention </w:t>
            </w:r>
            <w:r>
              <w:rPr>
                <w:rFonts w:ascii="Times New Roman" w:cs="Times New Roman" w:eastAsia="Times New Roman" w:hAnsi="Times New Roman"/>
                <w:sz w:val="14"/>
                <w:szCs w:val="14"/>
                <w:color w:val="auto"/>
              </w:rPr>
              <w:t>(1)</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57.7 %</w:t>
            </w:r>
          </w:p>
        </w:tc>
        <w:tc>
          <w:tcPr>
            <w:tcW w:w="1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49.7 %</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61.3 %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145,159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223,869</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(35.2)%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445,570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671,520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(28.3)%</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(25.7)%</w:t>
            </w:r>
          </w:p>
        </w:tc>
        <w:tc>
          <w:tcPr>
            <w:tcW w:w="0" w:type="dxa"/>
            <w:vAlign w:val="bottom"/>
          </w:tcPr>
          <w:p>
            <w:pPr>
              <w:spacing w:after="0" w:line="20" w:lineRule="exact"/>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152,962</w:t>
            </w:r>
          </w:p>
        </w:tc>
        <w:tc>
          <w:tcPr>
            <w:tcW w:w="100" w:type="dxa"/>
            <w:vAlign w:val="bottom"/>
          </w:tcPr>
          <w:p>
            <w:pPr>
              <w:spacing w:after="0"/>
              <w:rPr>
                <w:sz w:val="17"/>
                <w:szCs w:val="17"/>
                <w:color w:val="auto"/>
              </w:rPr>
            </w:pPr>
          </w:p>
        </w:tc>
        <w:tc>
          <w:tcPr>
            <w:tcW w:w="440" w:type="dxa"/>
            <w:vAlign w:val="bottom"/>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213,374</w:t>
            </w:r>
          </w:p>
        </w:tc>
        <w:tc>
          <w:tcPr>
            <w:tcW w:w="1240" w:type="dxa"/>
            <w:vAlign w:val="bottom"/>
            <w:vMerge w:val="continue"/>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447,695</w:t>
            </w:r>
          </w:p>
        </w:tc>
        <w:tc>
          <w:tcPr>
            <w:tcW w:w="120" w:type="dxa"/>
            <w:vAlign w:val="bottom"/>
          </w:tcPr>
          <w:p>
            <w:pPr>
              <w:spacing w:after="0"/>
              <w:rPr>
                <w:sz w:val="17"/>
                <w:szCs w:val="17"/>
                <w:color w:val="auto"/>
              </w:rPr>
            </w:pPr>
          </w:p>
        </w:tc>
        <w:tc>
          <w:tcPr>
            <w:tcW w:w="420" w:type="dxa"/>
            <w:vAlign w:val="bottom"/>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602,640</w:t>
            </w: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(106,155)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(214,084)</w:t>
            </w:r>
          </w:p>
        </w:tc>
        <w:tc>
          <w:tcPr>
            <w:tcW w:w="1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(50.4)%</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(301,757)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(501,064)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(39.8)%</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(37,861)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(39,394)</w:t>
            </w:r>
          </w:p>
        </w:tc>
        <w:tc>
          <w:tcPr>
            <w:tcW w:w="1240" w:type="dxa"/>
            <w:vAlign w:val="bottom"/>
            <w:tcBorders>
              <w:bottom w:val="single" w:sz="8" w:color="CCEEFF"/>
            </w:tcBorders>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(3.9)%</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(130,524)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(124,959)</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(loss) </w:t>
            </w:r>
            <w:r>
              <w:rPr>
                <w:rFonts w:ascii="Times New Roman" w:cs="Times New Roman" w:eastAsia="Times New Roman" w:hAnsi="Times New Roman"/>
                <w:sz w:val="14"/>
                <w:szCs w:val="14"/>
                <w:color w:val="auto"/>
              </w:rPr>
              <w:t>(2), (3)</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(40,104)</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(23,383)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14,959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17,878</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(16.3)%</w:t>
            </w: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51,145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54,844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(6.7)%</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realized and unrealized gains (losses)</w:t>
            </w: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8,929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(2,357)</w:t>
            </w: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w:t>
            </w: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(27,885)</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 investments</w:t>
            </w:r>
          </w:p>
        </w:tc>
        <w:tc>
          <w:tcPr>
            <w:tcW w:w="2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w:t>
            </w:r>
          </w:p>
        </w:tc>
        <w:tc>
          <w:tcPr>
            <w:tcW w:w="28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(91)</w:t>
            </w:r>
          </w:p>
        </w:tc>
        <w:tc>
          <w:tcPr>
            <w:tcW w:w="1240" w:type="dxa"/>
            <w:vAlign w:val="bottom"/>
          </w:tcPr>
          <w:p>
            <w:pPr>
              <w:jc w:val="right"/>
              <w:ind w:right="13"/>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19"/>
                <w:szCs w:val="19"/>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333.6 %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(2,594)</w:t>
            </w:r>
          </w:p>
        </w:tc>
        <w:tc>
          <w:tcPr>
            <w:tcW w:w="1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(17.9)%</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(7,970)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(8,086)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(149)</w:t>
            </w:r>
          </w:p>
        </w:tc>
        <w:tc>
          <w:tcPr>
            <w:tcW w:w="12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30,748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(27,417)</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29,290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23,036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27.1 %</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(2,250)</w:t>
            </w:r>
          </w:p>
        </w:tc>
        <w:tc>
          <w:tcPr>
            <w:tcW w:w="12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4,208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5,168</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(18.6)%</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26,283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(25,167)</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25,082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17,868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40.4 %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13"/>
              <w:spacing w:after="0"/>
              <w:rPr>
                <w:sz w:val="20"/>
                <w:szCs w:val="20"/>
                <w:color w:val="auto"/>
              </w:rPr>
            </w:pPr>
            <w:r>
              <w:rPr>
                <w:rFonts w:ascii="Arial" w:cs="Arial" w:eastAsia="Arial" w:hAnsi="Arial"/>
                <w:sz w:val="18"/>
                <w:szCs w:val="18"/>
                <w:i w:val="1"/>
                <w:iCs w:val="1"/>
                <w:color w:val="auto"/>
              </w:rPr>
              <w: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Adjusted net operating income (loss) </w:t>
            </w:r>
            <w:r>
              <w:rPr>
                <w:rFonts w:ascii="Times New Roman" w:cs="Times New Roman" w:eastAsia="Times New Roman" w:hAnsi="Times New Roman"/>
                <w:sz w:val="14"/>
                <w:szCs w:val="14"/>
                <w:color w:val="auto"/>
              </w:rPr>
              <w:t>(4)</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17,382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71"/>
              <w:spacing w:after="0" w:line="203" w:lineRule="exact"/>
              <w:rPr>
                <w:sz w:val="20"/>
                <w:szCs w:val="20"/>
                <w:color w:val="auto"/>
              </w:rPr>
            </w:pPr>
            <w:r>
              <w:rPr>
                <w:rFonts w:ascii="Times New Roman" w:cs="Times New Roman" w:eastAsia="Times New Roman" w:hAnsi="Times New Roman"/>
                <w:sz w:val="18"/>
                <w:szCs w:val="18"/>
                <w:color w:val="auto"/>
              </w:rPr>
              <w:t>(22,208)</w:t>
            </w:r>
          </w:p>
        </w:tc>
        <w:tc>
          <w:tcPr>
            <w:tcW w:w="12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50,179</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19,682</w:t>
            </w:r>
          </w:p>
        </w:tc>
        <w:tc>
          <w:tcPr>
            <w:tcW w:w="11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154.9 %</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ratio</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100.3 %</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 ratio</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Combined ratio</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118.8 %</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103.9 %</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retention is defined as the ratio of net written premiums to gross written premiums.</w:t>
      </w:r>
    </w:p>
    <w:p>
      <w:pPr>
        <w:spacing w:after="0" w:line="63" w:lineRule="exact"/>
        <w:rPr>
          <w:rFonts w:ascii="Times New Roman" w:cs="Times New Roman" w:eastAsia="Times New Roman" w:hAnsi="Times New Roman"/>
          <w:sz w:val="18"/>
          <w:szCs w:val="18"/>
          <w:i w:val="1"/>
          <w:iCs w:val="1"/>
          <w:color w:val="auto"/>
        </w:rPr>
      </w:pPr>
    </w:p>
    <w:p>
      <w:pPr>
        <w:ind w:left="660" w:right="120" w:hanging="328"/>
        <w:spacing w:after="0" w:line="281" w:lineRule="auto"/>
        <w:tabs>
          <w:tab w:leader="none" w:pos="65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(loss) is a non-GAAP measure. See “Reconciliation of Non-GAAP Measures” for a reconciliation to income (loss) before tax and for additional information.</w:t>
      </w:r>
    </w:p>
    <w:p>
      <w:pPr>
        <w:spacing w:after="0" w:line="1" w:lineRule="exact"/>
        <w:rPr>
          <w:rFonts w:ascii="Times New Roman" w:cs="Times New Roman" w:eastAsia="Times New Roman" w:hAnsi="Times New Roman"/>
          <w:sz w:val="18"/>
          <w:szCs w:val="18"/>
          <w:i w:val="1"/>
          <w:iCs w:val="1"/>
          <w:color w:val="auto"/>
        </w:rPr>
      </w:pPr>
    </w:p>
    <w:p>
      <w:pPr>
        <w:ind w:left="660" w:right="280" w:hanging="328"/>
        <w:spacing w:after="0" w:line="281" w:lineRule="auto"/>
        <w:tabs>
          <w:tab w:leader="none" w:pos="65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underwriting results for the three and nine months ended September 30, 2020 is gross fee income of $4.6 million and $15.8 million, respectively ($6.1 million and $18.7 million for the same periods in the prior year).</w:t>
      </w:r>
    </w:p>
    <w:p>
      <w:pPr>
        <w:spacing w:after="0" w:line="1" w:lineRule="exact"/>
        <w:rPr>
          <w:rFonts w:ascii="Times New Roman" w:cs="Times New Roman" w:eastAsia="Times New Roman" w:hAnsi="Times New Roman"/>
          <w:sz w:val="18"/>
          <w:szCs w:val="18"/>
          <w:i w:val="1"/>
          <w:iCs w:val="1"/>
          <w:color w:val="auto"/>
        </w:rPr>
      </w:pPr>
    </w:p>
    <w:p>
      <w:pPr>
        <w:ind w:left="660" w:right="420" w:hanging="328"/>
        <w:spacing w:after="0" w:line="284" w:lineRule="auto"/>
        <w:tabs>
          <w:tab w:leader="none" w:pos="65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net operating income (loss) is a non-GAAP measure. See “Reconciliation of Non-GAAP Measures” for reconciliation to net income (loss) and for additional information.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2020 and 2019</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an underwriting profit of $8.9 million for the three months ended September 30, 2020. This compares to an underwriting loss of $40.1 million for the same period in the prior year. Underwriting results for the three months ended September 30, 2019 were negatively impacted by $57.0 million of net adverse reserve development on prior accident years, including $50.0 million of net adverse reserve development from the Excess and Surplus Lines segment that was primarily related to the 2016 and 2017 accident years for the commercial auto business.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for the three months ended September 30, 2020 and 2019 include certain non-operating items that are significant to the Company. These items (on a pre-tax basis) include:</w:t>
      </w:r>
    </w:p>
    <w:p>
      <w:pPr>
        <w:spacing w:after="0" w:line="54" w:lineRule="exact"/>
        <w:rPr>
          <w:sz w:val="20"/>
          <w:szCs w:val="20"/>
          <w:color w:val="auto"/>
        </w:rPr>
      </w:pPr>
    </w:p>
    <w:p>
      <w:pPr>
        <w:jc w:val="both"/>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realized and unrealized investment gains (losses) of $8.9 million and $(2.4) million for the three months ended September 30, 2020 and 2019, respectively. </w:t>
      </w:r>
      <w:r>
        <w:rPr>
          <w:rFonts w:ascii="Times New Roman" w:cs="Times New Roman" w:eastAsia="Times New Roman" w:hAnsi="Times New Roman"/>
          <w:sz w:val="18"/>
          <w:szCs w:val="18"/>
          <w:color w:val="231F20"/>
        </w:rPr>
        <w:t>For the three months ended September 30, 2020, net realized and unrealized gains on investments include gains of $2.4 million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$9.7 million related to changes in unrealized gains and losses on equity securities and bank loan participations </w:t>
      </w:r>
      <w:r>
        <w:rPr>
          <w:rFonts w:ascii="Times New Roman" w:cs="Times New Roman" w:eastAsia="Times New Roman" w:hAnsi="Times New Roman"/>
          <w:sz w:val="18"/>
          <w:szCs w:val="18"/>
          <w:color w:val="000000"/>
        </w:rPr>
        <w:t>(accounted for at fair value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pursuant to the Company's election of the fair value option on January 1, 2020)</w:t>
      </w:r>
      <w:r>
        <w:rPr>
          <w:rFonts w:ascii="Times New Roman" w:cs="Times New Roman" w:eastAsia="Times New Roman" w:hAnsi="Times New Roman"/>
          <w:sz w:val="18"/>
          <w:szCs w:val="18"/>
          <w:color w:val="231F20"/>
        </w:rPr>
        <w:t>, respectively. For the</w:t>
      </w:r>
      <w:r>
        <w:rPr>
          <w:rFonts w:ascii="Times New Roman" w:cs="Times New Roman" w:eastAsia="Times New Roman" w:hAnsi="Times New Roman"/>
          <w:sz w:val="18"/>
          <w:szCs w:val="18"/>
          <w:color w:val="000000"/>
        </w:rPr>
        <w:t xml:space="preserve"> three months ended September 30, 2019</w:t>
      </w:r>
      <w:r>
        <w:rPr>
          <w:rFonts w:ascii="Times New Roman" w:cs="Times New Roman" w:eastAsia="Times New Roman" w:hAnsi="Times New Roman"/>
          <w:sz w:val="18"/>
          <w:szCs w:val="18"/>
          <w:color w:val="231F20"/>
        </w:rPr>
        <w:t>, net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realized and unrealized losses on investments included gains of $3.3 million related to changes in unrealized gains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 xml:space="preserve">losses on equity securities. </w:t>
      </w:r>
      <w:r>
        <w:rPr>
          <w:rFonts w:ascii="Times New Roman" w:cs="Times New Roman" w:eastAsia="Times New Roman" w:hAnsi="Times New Roman"/>
          <w:sz w:val="18"/>
          <w:szCs w:val="18"/>
          <w:color w:val="000000"/>
        </w:rPr>
        <w:t>See “— Investing Results" for more information on these realized and unrealized investment gains (losses).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define adjusted net operating income (loss) as net income (loss) excluding certain non-operating expenses such as net realized and unrealized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gains and losses on investments, expenses related to due diligence costs for various merger and acquisition activities, professional service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filing of registration statements for the offering of securities, and severance costs associated with terminated employees. We use adjusted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(loss) as an internal performance measure in the management of our operations because we believe it gives our management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users of our financial information useful insight into our results of operations and our underlying business performance. Adjusted net operating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should not be viewed as a substitute for net income (loss) calculated in accordance with GAAP, and our definition of adjusted net operating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may not be comparable to that of other companies.</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income (loss) before taxes and net income (loss) reconcile to our adjusted net operating income (loss)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1"/>
                <w:szCs w:val="11"/>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220" w:type="dxa"/>
            <w:vAlign w:val="bottom"/>
          </w:tcPr>
          <w:p>
            <w:pPr>
              <w:spacing w:after="0"/>
              <w:rPr>
                <w:sz w:val="11"/>
                <w:szCs w:val="11"/>
                <w:color w:val="auto"/>
              </w:rPr>
            </w:pPr>
          </w:p>
        </w:tc>
        <w:tc>
          <w:tcPr>
            <w:tcW w:w="110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Before</w:t>
            </w: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as reported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operating income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Ratios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combined ratio is a measure of underwriting performance and represents the relationship of incurred losses, loss adjustment expenses and other operating expenses to net earned premiums. Our combined ratio for the three months ended September 30, 2020 was 94.2%. A combined ratio of less than 100% indicates an underwriting profit, while a combined ratio greater than 100% reflects an underwriting loss. The combined ratio for the three months ended September 30, 2020 includes $4.2 million, or 2.8 percentage points, of net adverse reserve development on prior accident years, including $27,000 of net adverse reserve development from the Excess and Surplus Lines segment, $2.0 million of net favorable reserve development from the Specialty Admitted Insurance segment, and $6.2 million of net adverse reserve development from the Casualty Reinsurance segment.</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combined ratio for the three months ended September 30, 2019 was 118.8%. The combined ratio for the three months ended September 30, 2019 includes $57.0 million, or 26.7 percentage points, of net adverse reserve development on prior accident years, including $50.0 million of net adverse reserve development from the Excess and Surplus Lines segment, $1.0 million of net favorable reserve development from the Specialty Admitted Insurance segment, and $7.9 million of net adverse reserve development from the Casualty Reinsurance segment.</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 their premiums and losses to JRG Re, and starting January 1, 2018, ceded 70% of their premiums and losses to Carolina Re, an entity domiciled in Bermuda that made an irrevocable election to be taxed as a U.S. domestic corporation under Section 953(d) of the Code effective January 1, 2018. JRG Re also provides stop loss reinsurance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Ratios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expense ratio increased from 18.5% for the three months ended September 30, 2019 to 24.8% for the three months ended September 30, 2020. The increase reflects the termination of the Rasier business effective December 31, 2019 (the Rasier business carried higher loss ratios, but lower expense ratios). This was partially offset by a 21.1% increase in the non-commercial auto (“Core E&amp;S”) net earned premiums of the Excess and Surplus Lines segment including in lines that have meaningful ceding commissions. Our Excess and Surplus Lines segment has significant scale and produces a lower expense ratio than our other operating segments. The Excess and Surplus Lines segment is our largest segment and makes up 68.6% of consolidated net earned premiums for the three months ended September 30, 2020 compared to 77.2% for the three months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ended September 30, 2019. Gross fee income for the Company declined from $6.1 million for the three months ended September 30, 2019 to $4.6 million for the three months ended September 30, 2020. The Rasier termination resulted in a $2.2 million decline of gross fee income in the Excess and Surplus Lines segment for the three months ended September 30, 2020. This was partially offset by $673,000 higher fee income in the Specialty Admitted Insurance segment due to new fronting programs and growth in existing fronting programs.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and 2019</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an underwriting profit of $15.4 million for the nine months ended September 30, 2020. This compares to an underwriting loss of $23.4 million for the same period in the prior year. Underwriting results for the nine months ended September 30, 2019 were negatively impacted by $60.3 million of net adverse reserve development on prior accident years, including $51.2 million of net adverse reserve development from the Excess and Surplus Lines segment that was primarily related to the 2016 and 2017 accident years for the commercial auto business.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for the nine months ended September 30, 2020 and 2019 include certain non-operating items that are significant to the Company. These items (on a pre-tax basis) include:</w:t>
      </w:r>
    </w:p>
    <w:p>
      <w:pPr>
        <w:spacing w:after="0" w:line="54" w:lineRule="exact"/>
        <w:rPr>
          <w:sz w:val="20"/>
          <w:szCs w:val="20"/>
          <w:color w:val="auto"/>
        </w:rPr>
      </w:pPr>
    </w:p>
    <w:p>
      <w:pPr>
        <w:jc w:val="both"/>
        <w:ind w:left="660" w:hanging="328"/>
        <w:spacing w:after="0" w:line="25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realized and unrealized investment (losses) gains of $(27.9) million and $331,000 for the nine months ended September 30, 2020 and 2019, respectively. </w:t>
      </w:r>
      <w:r>
        <w:rPr>
          <w:rFonts w:ascii="Times New Roman" w:cs="Times New Roman" w:eastAsia="Times New Roman" w:hAnsi="Times New Roman"/>
          <w:sz w:val="18"/>
          <w:szCs w:val="18"/>
          <w:color w:val="231F20"/>
        </w:rPr>
        <w:t>For the</w:t>
      </w:r>
      <w:r>
        <w:rPr>
          <w:rFonts w:ascii="Times New Roman" w:cs="Times New Roman" w:eastAsia="Times New Roman" w:hAnsi="Times New Roman"/>
          <w:sz w:val="18"/>
          <w:szCs w:val="18"/>
          <w:color w:val="auto"/>
        </w:rPr>
        <w:t xml:space="preserve"> nine months ended September 30, 2020</w:t>
      </w:r>
      <w:r>
        <w:rPr>
          <w:rFonts w:ascii="Times New Roman" w:cs="Times New Roman" w:eastAsia="Times New Roman" w:hAnsi="Times New Roman"/>
          <w:sz w:val="18"/>
          <w:szCs w:val="18"/>
          <w:color w:val="231F20"/>
        </w:rPr>
        <w:t>, net realized and unrealized losses on investments include losses of $6.9 million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$7.6 million related to changes in unrealized gains and losses on equity securities and bank loan participations, respectively. For the </w:t>
      </w:r>
      <w:r>
        <w:rPr>
          <w:rFonts w:ascii="Times New Roman" w:cs="Times New Roman" w:eastAsia="Times New Roman" w:hAnsi="Times New Roman"/>
          <w:sz w:val="18"/>
          <w:szCs w:val="18"/>
          <w:color w:val="000000"/>
        </w:rPr>
        <w:t>nine months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ended September 30, 2019</w:t>
      </w:r>
      <w:r>
        <w:rPr>
          <w:rFonts w:ascii="Times New Roman" w:cs="Times New Roman" w:eastAsia="Times New Roman" w:hAnsi="Times New Roman"/>
          <w:sz w:val="18"/>
          <w:szCs w:val="18"/>
          <w:color w:val="231F20"/>
        </w:rPr>
        <w:t>, net realized and unrealized gains on investments included gains of $8.7 million related to changes in unrealized gains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and losses on equity securities. </w:t>
      </w:r>
      <w:r>
        <w:rPr>
          <w:rFonts w:ascii="Times New Roman" w:cs="Times New Roman" w:eastAsia="Times New Roman" w:hAnsi="Times New Roman"/>
          <w:sz w:val="18"/>
          <w:szCs w:val="18"/>
          <w:color w:val="000000"/>
        </w:rPr>
        <w:t>See “— Investing Results" for more information on these realized and unrealized investment (losses) gains.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income before taxes and net income reconcile to our adjusted net operating income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1"/>
                <w:szCs w:val="11"/>
                <w:color w:val="auto"/>
              </w:rPr>
            </w:pPr>
          </w:p>
        </w:tc>
        <w:tc>
          <w:tcPr>
            <w:tcW w:w="11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Income</w:t>
            </w:r>
          </w:p>
        </w:tc>
        <w:tc>
          <w:tcPr>
            <w:tcW w:w="260" w:type="dxa"/>
            <w:vAlign w:val="bottom"/>
          </w:tcPr>
          <w:p>
            <w:pPr>
              <w:spacing w:after="0"/>
              <w:rPr>
                <w:sz w:val="11"/>
                <w:szCs w:val="11"/>
                <w:color w:val="auto"/>
              </w:rPr>
            </w:pPr>
          </w:p>
        </w:tc>
        <w:tc>
          <w:tcPr>
            <w:tcW w:w="10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Before</w:t>
            </w: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Before</w:t>
            </w:r>
          </w:p>
        </w:tc>
        <w:tc>
          <w:tcPr>
            <w:tcW w:w="2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as reported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operating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58,886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Ratios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combined ratio for the nine months ended September 30, 2020 was 96.6%. The combined ratio for the nine months ended September 30, 2020 includes $6.2 million, or 1.4 percentage points, of net adverse reserve development on prior accident years, including $2.8 million of net favorable reserve development from the Excess and Surplus Lines segment, $4.0 million of net favorable reserve development from the Specialty Admitted Insurance segment, and $13.1 million of net adverse reserve development from the Casualty Reinsurance segment.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combined ratio for the nine months ended September 30, 2019 was 103.9%. The combined ratio for the nine months ended September 30, 2019 includes $60.3 million, or 10.0 percentage points, of net adverse reserve development on prior accident years, including $51.2 million of net adverse reserve development from the Excess and Surplus Lines segment, $4.3 million of net favorable reserve development from the Specialty Admitted Insurance segment, and $13.3 million of net adverse reserve development from the Casualty Reinsurance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Ratios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expense ratio increased from 20.8% for the nine months ended September 30, 2019 to 29.2% for the nine months ended September 30, 2020. The increase reflects the termination of the Rasier business effective December 31, 2019 (the Rasier business carried higher loss ratios, but lower expense ratios). This was partially offset by a 32.2% increase in the Core E&amp;S net earned premiums of the Excess and Surplus Lines segment including in lines that have meaningful ceding commissions. Our Excess and Surplus Lines segment has significant scale and produces a lower expense ratio than our other operating segments. The Excess and Surplus Lines segment is our largest segment and makes up 68.2% of consolidated net earned premiums for the nine months ended September 30, 2020 compared to 75.9% for nine months ended September 30, 2019. Gross fee income for the Company declined from $18.7 million for the nine months ended September 30, 2019 to $15.8 million for the nine months ended September 30, 2020. The Rasier termination resulted in a $5.6 million decline of gross fee income in the Excess and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Surplus Lines segment for the nine months ended September 30, 2020. This was partially offset by $2.6 million higher fee income in the Specialty Admitted Insurance segment due to new fronting programs and growth in existing fronting programs.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Insurance premiums are earned ratably over the terms of our insurance policies, generally twelve months. Reinsurance premiums assumed are earned over the terms of the underlying policies or reinsurance contracts. Reinsurance contracts written on a “losses occurring” basis cover claims that may occur during the term of the contract or underlying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 in premium volume by component and business segment: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vMerge w:val="restart"/>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420" w:type="dxa"/>
            <w:vAlign w:val="bottom"/>
          </w:tcPr>
          <w:p>
            <w:pPr>
              <w:spacing w:after="0"/>
              <w:rPr>
                <w:sz w:val="13"/>
                <w:szCs w:val="13"/>
                <w:color w:val="auto"/>
              </w:rPr>
            </w:pPr>
          </w:p>
        </w:tc>
        <w:tc>
          <w:tcPr>
            <w:tcW w:w="23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0" w:type="dxa"/>
            <w:vAlign w:val="bottom"/>
            <w:gridSpan w:val="2"/>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jc w:val="center"/>
              <w:ind w:left="54"/>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179,458</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241,045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(25.6)%</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502,649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687,871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(26.9)%</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100,459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12.1 %</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292,884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3.7 %</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Casualty Reinsurance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46,724</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(57.6)%</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90,852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114,810</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(20.9)%</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388,228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(19.7)%</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1,095,565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(36.4)%</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(37.2)%</w:t>
            </w:r>
          </w:p>
        </w:tc>
        <w:tc>
          <w:tcPr>
            <w:tcW w:w="0" w:type="dxa"/>
            <w:vAlign w:val="bottom"/>
          </w:tcPr>
          <w:p>
            <w:pPr>
              <w:spacing w:after="0"/>
              <w:rPr>
                <w:sz w:val="1"/>
                <w:szCs w:val="1"/>
                <w:color w:val="auto"/>
              </w:rPr>
            </w:pPr>
          </w:p>
        </w:tc>
      </w:tr>
      <w:tr>
        <w:trPr>
          <w:trHeight w:val="230"/>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11.1 %</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(3.1)%</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Casualty Reinsurance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(47.3)%</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(28.9)%</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145,159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223,869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(35.2)%</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445,570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671,520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(33.6)%</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104,933</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164,759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(36.3)%</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305,521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457,352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(33.2)%</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5.2 %</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7.5 %</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Casualty Reinsurance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34,373</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(3.9)%</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105,600</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(5.8)%</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213,374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(28.3)%</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602,640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Gross written premiums for the Excess and Surplus Lines segment (which represents 56.0% of our consolidated gross written premiums in the nine months ended September 30, 2020) decreased 25.6% and 26.9% from the corresponding three and nine month periods in the prior year, respectively. The decrease was largely due to the termination of the Rasier commercial auto business in the fourth quarter of 2019. On October 8, 2019, the Company delivered a notice of early cancellation, effective December 31, 2019, of all insurance policies issued to its largest customer, Rasier. A majority of the insurance policies were due to expire on February 29, 2020. Excluding commercial auto policies, gross written premiums increased 27.9% and 26.1% over the corresponding three and nine month periods in the prior year, respectively. Policy submissions excluding commercial auto policies were 13.8% higher and 17.8% more policies were bound in the nine months ended September 30, 2020 than in the nine months ended September 30, 2019. Renewal rates for the Excess and Surplus Lines segment were up 15.6% compared to the nine months ended September 30, 2019. The change in gross written premiums compared to the same periods in 2019 was notable in several divisions as shown below: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2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Casualty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94.9 %</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85.9 %</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Casualty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7.6 %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89,897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4.2 %</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Manufacturers &amp; Contractors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21.8 %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18.2 %</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(8.2)%</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Property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21.0 %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17.7 %</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Life Sciences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47.9 %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42.3 %</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Small Business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25.1 %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26.2 %</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Core E&amp;S divisions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0.8 %</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43,091</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3.3 %</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Core E&amp;S divisions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27.9 %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379,958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26.1 %</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Auto</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108,368</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(91.0)%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307,913</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(92.4)%</w:t>
            </w:r>
          </w:p>
        </w:tc>
        <w:tc>
          <w:tcPr>
            <w:tcW w:w="0" w:type="dxa"/>
            <w:vAlign w:val="bottom"/>
          </w:tcPr>
          <w:p>
            <w:pPr>
              <w:spacing w:after="0"/>
              <w:rPr>
                <w:sz w:val="1"/>
                <w:szCs w:val="1"/>
                <w:color w:val="auto"/>
              </w:rPr>
            </w:pPr>
          </w:p>
        </w:tc>
      </w:tr>
      <w:tr>
        <w:trPr>
          <w:trHeight w:val="156"/>
        </w:trPr>
        <w:tc>
          <w:tcPr>
            <w:tcW w:w="33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Excess and Surplus Lines gross written</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179,458</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241,045</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(25.6)%</w:t>
            </w:r>
          </w:p>
        </w:tc>
        <w:tc>
          <w:tcPr>
            <w:tcW w:w="56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502,649</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687,871</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(26.9)%</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premium</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560" w:type="dxa"/>
            <w:vAlign w:val="bottom"/>
            <w:tcBorders>
              <w:bottom w:val="single" w:sz="8" w:color="auto"/>
            </w:tcBorders>
            <w:gridSpan w:val="2"/>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gross written premiums for the Specialty Admitted Insurance segment (which represents 33.9% of our consolidated gross written premiums for the nine months ended September 30, 2020)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Individual risk workers’ compensation</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1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5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49,670</w:t>
            </w:r>
          </w:p>
        </w:tc>
        <w:tc>
          <w:tcPr>
            <w:tcW w:w="1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48,599</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w:t>
            </w:r>
          </w:p>
        </w:tc>
        <w:tc>
          <w:tcPr>
            <w:tcW w:w="30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Fronting and program premium</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96,556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84,841</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13.8 %</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254,161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244,285</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gross written premium</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100,459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12.1 %</w:t>
            </w:r>
          </w:p>
        </w:tc>
        <w:tc>
          <w:tcPr>
            <w:tcW w:w="580" w:type="dxa"/>
            <w:vAlign w:val="bottom"/>
            <w:tcBorders>
              <w:bottom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292,884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premium growth in fronting and programs was largely driven by three new fronting relationships that generated $25.8 million and $45.7 million of gross written premium in the three and nine months ended September 30, 2020 ($9.1 million in the comparable three and nine month periods of the prior year). Our largest fronting relationship produced $33.4 million and $96.3 million of gross written premium for the three and nine months ended September 30, 2020, respectively, down from $36.2 million and $113.9 million for the three and nine months ended September 30, 2019 and representing 31.7% of the segment's gross written premium in the nine months ended September 30, 2020 down from 38.9% in the nine months ended September 30, 2019.</w:t>
      </w:r>
    </w:p>
    <w:p>
      <w:pPr>
        <w:spacing w:after="0" w:line="296"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Gross written premiums for the Casualty Reinsurance segment (which represents 10.1% of our consolidated gross written premiums in the first nine months of 2020) decreased 57.6% and 20.9% from the corresponding three and nine month periods in the prior year, respectively. The decline in gross written premiums was due to the non-renewal of one large treaty and the change in renewal dates of three treaties.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Retention</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ratio of net written premiums to gross written premiums is referred to as our net premium retention. Our net premium retention is summarized by segment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360" w:type="dxa"/>
            <w:vAlign w:val="bottom"/>
            <w:gridSpan w:val="4"/>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300" w:type="dxa"/>
            <w:vAlign w:val="bottom"/>
          </w:tcPr>
          <w:p>
            <w:pPr>
              <w:spacing w:after="0"/>
              <w:rPr>
                <w:sz w:val="16"/>
                <w:szCs w:val="16"/>
                <w:color w:val="auto"/>
              </w:rPr>
            </w:pPr>
          </w:p>
        </w:tc>
        <w:tc>
          <w:tcPr>
            <w:tcW w:w="1980" w:type="dxa"/>
            <w:vAlign w:val="bottom"/>
            <w:tcBorders>
              <w:bottom w:val="single" w:sz="8" w:color="auto"/>
            </w:tcBorders>
            <w:gridSpan w:val="3"/>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gridSpan w:val="3"/>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53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75.9 %</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Casualty Reinsurance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92.1 %</w:t>
            </w: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net premium retention for the Excess and Surplus Lines segment decreased for the three and nine months ended September 30, 2020 as compared to the prior year periods due to growth in written premium in the Excess Casualty and Excess Property underwriting divisions, which have higher percentages of ceded premium than our other divisions. Additionally, the net premium retention for the Commercial Auto underwriting division is higher than the net premium retention for the other underwriting divisions in the Excess and Surplus Lines segment, and the Company terminated its largest Commercial Auto customer, Rasier, effective December 31, 2019.</w:t>
      </w:r>
    </w:p>
    <w:p>
      <w:pPr>
        <w:spacing w:after="0" w:line="75"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The net premium retention for the Specialty Admitted Insurance segment decreased slightly for the three and nine months ended September 30, 2020 as compared to the respective periods in the prior year. The net retention on the individual risk workers’ compensation business was 29.5% and 29.7% for the three and nine months ended September 30, 2020, respectively (46.1% and 45.0% for the three and nine months ended September 30, 2019, respectively), reflecting an increase in the percentage of premiums ceded under a third-party quota share reinsurance treaty from 50% in 2019 to 70% in 2020. The net retention on the segment’s fronting business was 11.9% and 10.8% for the three and nine months ended September 30, 2020, respectively (8.7% and 8.9% for the three and nine months ended September 30, 2019, respectively).</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premium retention for the Casualty Reinsurance segment as compared to the prior year increased for the three month period, but decreased for the nine month period primarily due to the change in renewal date of a retrocessional treaty/fronting arrangement under which 100% of the premiums are ceded. Ceded written premiums under the treaty were $15.8 million in the first quarter of 2020 compared to $9.1 million in the third quarter of 2019.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Results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compares our combined ratios by segment: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30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280" w:type="dxa"/>
            <w:vAlign w:val="bottom"/>
          </w:tcPr>
          <w:p>
            <w:pPr>
              <w:spacing w:after="0"/>
              <w:rPr>
                <w:sz w:val="16"/>
                <w:szCs w:val="16"/>
                <w:color w:val="auto"/>
              </w:rPr>
            </w:pPr>
          </w:p>
        </w:tc>
        <w:tc>
          <w:tcPr>
            <w:tcW w:w="2000" w:type="dxa"/>
            <w:vAlign w:val="bottom"/>
            <w:tcBorders>
              <w:bottom w:val="single" w:sz="8" w:color="auto"/>
            </w:tcBorders>
            <w:gridSpan w:val="3"/>
          </w:tcPr>
          <w:p>
            <w:pPr>
              <w:jc w:val="center"/>
              <w:ind w:left="8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bottom w:val="single" w:sz="8" w:color="auto"/>
            </w:tcBorders>
            <w:gridSpan w:val="3"/>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52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100.1 %</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90.5 %</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Casualty Reinsurance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103.8 %</w:t>
            </w: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118.8 %</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103.9 %</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Excess and Surplus Lines Segment</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for the Excess and Surplus Lines segment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3"/>
                <w:szCs w:val="13"/>
                <w:color w:val="auto"/>
              </w:rPr>
            </w:pPr>
          </w:p>
        </w:tc>
        <w:tc>
          <w:tcPr>
            <w:tcW w:w="240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179,458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241,045</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i w:val="1"/>
                <w:iCs w:val="1"/>
                <w:color w:val="auto"/>
              </w:rPr>
              <w:t>(25.6)%</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502,649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687,871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6"/>
              <w:spacing w:after="0" w:line="203" w:lineRule="exact"/>
              <w:rPr>
                <w:sz w:val="20"/>
                <w:szCs w:val="20"/>
                <w:color w:val="auto"/>
              </w:rPr>
            </w:pPr>
            <w:r>
              <w:rPr>
                <w:rFonts w:ascii="Times New Roman" w:cs="Times New Roman" w:eastAsia="Times New Roman" w:hAnsi="Times New Roman"/>
                <w:sz w:val="18"/>
                <w:szCs w:val="18"/>
                <w:color w:val="auto"/>
              </w:rPr>
              <w:t>109,170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171,715</w:t>
            </w:r>
          </w:p>
        </w:tc>
        <w:tc>
          <w:tcPr>
            <w:tcW w:w="1260" w:type="dxa"/>
            <w:vAlign w:val="bottom"/>
          </w:tcPr>
          <w:p>
            <w:pPr>
              <w:jc w:val="right"/>
              <w:ind w:right="36"/>
              <w:spacing w:after="0" w:line="203" w:lineRule="exact"/>
              <w:rPr>
                <w:sz w:val="20"/>
                <w:szCs w:val="20"/>
                <w:color w:val="auto"/>
              </w:rPr>
            </w:pPr>
            <w:r>
              <w:rPr>
                <w:rFonts w:ascii="Times New Roman" w:cs="Times New Roman" w:eastAsia="Times New Roman" w:hAnsi="Times New Roman"/>
                <w:sz w:val="18"/>
                <w:szCs w:val="18"/>
                <w:i w:val="1"/>
                <w:iCs w:val="1"/>
                <w:color w:val="auto"/>
              </w:rPr>
              <w:t>(36.4)%</w:t>
            </w: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6"/>
              <w:spacing w:after="0" w:line="203" w:lineRule="exact"/>
              <w:rPr>
                <w:sz w:val="20"/>
                <w:szCs w:val="20"/>
                <w:color w:val="auto"/>
              </w:rPr>
            </w:pPr>
            <w:r>
              <w:rPr>
                <w:rFonts w:ascii="Times New Roman" w:cs="Times New Roman" w:eastAsia="Times New Roman" w:hAnsi="Times New Roman"/>
                <w:sz w:val="18"/>
                <w:szCs w:val="18"/>
                <w:color w:val="auto"/>
              </w:rPr>
              <w:t>328,190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522,200</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(37.2)%</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104,933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164,759</w:t>
            </w: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i w:val="1"/>
                <w:iCs w:val="1"/>
                <w:color w:val="auto"/>
              </w:rPr>
              <w:t>(36.3)%</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305,521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457,352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(33.2)%</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20" w:type="dxa"/>
            <w:vAlign w:val="bottom"/>
          </w:tcPr>
          <w:p>
            <w:pPr>
              <w:spacing w:after="0"/>
              <w:rPr>
                <w:sz w:val="19"/>
                <w:szCs w:val="19"/>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(69,938)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(176,154)</w:t>
            </w: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i w:val="1"/>
                <w:iCs w:val="1"/>
                <w:color w:val="auto"/>
              </w:rPr>
              <w:t>(60.3)%</w:t>
            </w:r>
          </w:p>
        </w:tc>
        <w:tc>
          <w:tcPr>
            <w:tcW w:w="460" w:type="dxa"/>
            <w:vAlign w:val="bottom"/>
          </w:tcPr>
          <w:p>
            <w:pPr>
              <w:spacing w:after="0"/>
              <w:rPr>
                <w:sz w:val="19"/>
                <w:szCs w:val="19"/>
                <w:color w:val="auto"/>
              </w:rPr>
            </w:pPr>
          </w:p>
        </w:tc>
        <w:tc>
          <w:tcPr>
            <w:tcW w:w="9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(198,877)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(399,996)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(50.3)%</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(19,414)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(17,956)</w:t>
            </w: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i w:val="1"/>
                <w:iCs w:val="1"/>
                <w:color w:val="auto"/>
              </w:rPr>
              <w:t>8.1 %</w:t>
            </w: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(66,856)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(57,795)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15.7 %</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(loss) </w:t>
            </w:r>
            <w:r>
              <w:rPr>
                <w:rFonts w:ascii="Times New Roman" w:cs="Times New Roman" w:eastAsia="Times New Roman" w:hAnsi="Times New Roman"/>
                <w:sz w:val="14"/>
                <w:szCs w:val="14"/>
                <w:i w:val="1"/>
                <w:iCs w:val="1"/>
                <w:color w:val="auto"/>
              </w:rPr>
              <w:t>(1), (2)</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15,581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(29,351)</w:t>
            </w:r>
          </w:p>
        </w:tc>
        <w:tc>
          <w:tcPr>
            <w:tcW w:w="1260" w:type="dxa"/>
            <w:vAlign w:val="bottom"/>
          </w:tcPr>
          <w:p>
            <w:pPr>
              <w:jc w:val="right"/>
              <w:ind w:right="36"/>
              <w:spacing w:after="0"/>
              <w:rPr>
                <w:sz w:val="20"/>
                <w:szCs w:val="20"/>
                <w:color w:val="auto"/>
              </w:rPr>
            </w:pPr>
            <w:r>
              <w:rPr>
                <w:rFonts w:ascii="Arial" w:cs="Arial" w:eastAsia="Arial" w:hAnsi="Arial"/>
                <w:sz w:val="18"/>
                <w:szCs w:val="18"/>
                <w:i w:val="1"/>
                <w:iCs w:val="1"/>
                <w:color w:val="auto"/>
              </w:rPr>
              <w:t>‒</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39,788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(439)</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Ratios: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ratio</w:t>
            </w:r>
          </w:p>
        </w:tc>
        <w:tc>
          <w:tcPr>
            <w:tcW w:w="2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66.7 %</w:t>
            </w:r>
          </w:p>
        </w:tc>
        <w:tc>
          <w:tcPr>
            <w:tcW w:w="21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106.9 %</w:t>
            </w:r>
          </w:p>
        </w:tc>
        <w:tc>
          <w:tcPr>
            <w:tcW w:w="2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65.1 %</w:t>
            </w:r>
          </w:p>
        </w:tc>
        <w:tc>
          <w:tcPr>
            <w:tcW w:w="222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87.5 %</w:t>
            </w:r>
          </w:p>
        </w:tc>
      </w:tr>
      <w:tr>
        <w:trPr>
          <w:trHeight w:val="230"/>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 ratio</w:t>
            </w:r>
          </w:p>
        </w:tc>
        <w:tc>
          <w:tcPr>
            <w:tcW w:w="23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18.5 %</w:t>
            </w:r>
          </w:p>
        </w:tc>
        <w:tc>
          <w:tcPr>
            <w:tcW w:w="21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10.9 %</w:t>
            </w:r>
          </w:p>
        </w:tc>
        <w:tc>
          <w:tcPr>
            <w:tcW w:w="20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21.9 %</w:t>
            </w:r>
          </w:p>
        </w:tc>
        <w:tc>
          <w:tcPr>
            <w:tcW w:w="222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12.6 %</w:t>
            </w:r>
          </w:p>
        </w:tc>
      </w:tr>
      <w:tr>
        <w:trPr>
          <w:trHeight w:val="234"/>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Combined ratio</w:t>
            </w:r>
          </w:p>
        </w:tc>
        <w:tc>
          <w:tcPr>
            <w:tcW w:w="2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85.2 %</w:t>
            </w:r>
          </w:p>
        </w:tc>
        <w:tc>
          <w:tcPr>
            <w:tcW w:w="21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117.8 %</w:t>
            </w:r>
          </w:p>
        </w:tc>
        <w:tc>
          <w:tcPr>
            <w:tcW w:w="2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87.0 %</w:t>
            </w:r>
          </w:p>
        </w:tc>
        <w:tc>
          <w:tcPr>
            <w:tcW w:w="222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100.1 %</w:t>
            </w:r>
          </w:p>
        </w:tc>
      </w:tr>
    </w:tbl>
    <w:p>
      <w:pPr>
        <w:spacing w:after="0" w:line="164" w:lineRule="exact"/>
        <w:rPr>
          <w:sz w:val="20"/>
          <w:szCs w:val="20"/>
          <w:color w:val="auto"/>
        </w:rPr>
      </w:pPr>
    </w:p>
    <w:p>
      <w:pPr>
        <w:ind w:left="660" w:right="40" w:hanging="328"/>
        <w:spacing w:after="0" w:line="262" w:lineRule="auto"/>
        <w:tabs>
          <w:tab w:leader="none" w:pos="654"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(Loss) is a non-GAAP Measure. See “Reconciliation of Non-GAAP Measures” for a reconciliation to income (loss) before tax and for additional information.</w:t>
      </w:r>
    </w:p>
    <w:p>
      <w:pPr>
        <w:ind w:left="640" w:hanging="308"/>
        <w:spacing w:after="0"/>
        <w:tabs>
          <w:tab w:leader="none" w:pos="6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results include gross fee income of $— and $1.6 million for the three and nine months ended September 30, 2020, respectively ($2.2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million and $7.1 million for the same periods in the prior year).</w:t>
      </w:r>
    </w:p>
    <w:p>
      <w:pPr>
        <w:spacing w:after="0" w:line="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loss ratios of 66.7% and 65.1% for the three and nine months ended September 30, 2020 include $27,000 of net adverse reserve development and $2.8 million of net favorable reserve development (0.0 and 0.9 percentage points), respectively, in our loss estimates for prior accident years. The loss ratios of 106.9% and 87.5% for the three and nine months ended September 30, 2019 include $50.0 million and $51.2 million (30.4 and 11.2 percentage points, respectively) of net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adverse reserve development in our loss estimates for prior accident years. The net adverse development in 2019 was primarily related to the 2016 and 2017 accident years for the commercial auto business. The lower current year loss ratios in this segment also reflect the termination of the Rasier commercial auto business effective December 31, 2019 (the Rasier business carried higher loss ratios, but lower expense ratios).</w:t>
      </w:r>
    </w:p>
    <w:p>
      <w:pPr>
        <w:spacing w:after="0" w:line="68"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The expense ratio for this segment increased from 10.9% and 12.6% for the three and nine months ended September 30, 2019, respectively, to 18.5% and 21.9% for the three and nine months ended September 30, 2020, respectively, due to the termination of the Rasier commercial auto business effective December 31, 2019 (the Rasier business carried higher loss ratios, but lower expense ratios). This was partially offset by increases of 21.1% and 32.2%, respectively, in the Core E&amp;S net earned premiums of the Excess and Surplus Lines segment including in lines that have meaningful ceding commissions. Commercial auto made up 6.0% and 7.3% of the segment’s net earned premiums for the three and nine months ended September 30, 2020, respectively, down from 50.6% and 53.1% in the respective prior year periods. Gross fee income contributed to a reduction in the expense ratio of 0.0 and 0.5 percentage points for the three and nine months ended September 30, 2020, respectively (1.3 and 1.6 percentage points for the same periods in the prior year).</w:t>
      </w:r>
    </w:p>
    <w:p>
      <w:pPr>
        <w:spacing w:after="0" w:line="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items discussed above, the underwriting results of the Excess and Surplus Lines segment improved from underwriting losses of $29.4 million and $439,000 for the three and nine months ended September 30, 2019, respectively, to underwriting profits of $15.6 million and $39.8 million for the three and nine months ended September 30, 2020,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Specialty Admitted Insurance Segment</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for the Specialty Admitted Insurance segment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3"/>
                <w:szCs w:val="13"/>
                <w:color w:val="auto"/>
              </w:rPr>
            </w:pPr>
          </w:p>
        </w:tc>
        <w:tc>
          <w:tcPr>
            <w:tcW w:w="236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112,589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100,459</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i w:val="1"/>
                <w:iCs w:val="1"/>
                <w:color w:val="auto"/>
              </w:rPr>
              <w:t>12.1 %</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303,831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292,884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6"/>
              <w:spacing w:after="0" w:line="203" w:lineRule="exact"/>
              <w:rPr>
                <w:sz w:val="20"/>
                <w:szCs w:val="20"/>
                <w:color w:val="auto"/>
              </w:rPr>
            </w:pPr>
            <w:r>
              <w:rPr>
                <w:rFonts w:ascii="Times New Roman" w:cs="Times New Roman" w:eastAsia="Times New Roman" w:hAnsi="Times New Roman"/>
                <w:sz w:val="18"/>
                <w:szCs w:val="18"/>
                <w:color w:val="auto"/>
              </w:rPr>
              <w:t>16,184</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14,570</w:t>
            </w:r>
          </w:p>
        </w:tc>
        <w:tc>
          <w:tcPr>
            <w:tcW w:w="1260" w:type="dxa"/>
            <w:vAlign w:val="bottom"/>
          </w:tcPr>
          <w:p>
            <w:pPr>
              <w:jc w:val="right"/>
              <w:ind w:right="36"/>
              <w:spacing w:after="0" w:line="203" w:lineRule="exact"/>
              <w:rPr>
                <w:sz w:val="20"/>
                <w:szCs w:val="20"/>
                <w:color w:val="auto"/>
              </w:rPr>
            </w:pPr>
            <w:r>
              <w:rPr>
                <w:rFonts w:ascii="Times New Roman" w:cs="Times New Roman" w:eastAsia="Times New Roman" w:hAnsi="Times New Roman"/>
                <w:sz w:val="18"/>
                <w:szCs w:val="18"/>
                <w:i w:val="1"/>
                <w:iCs w:val="1"/>
                <w:color w:val="auto"/>
              </w:rPr>
              <w:t>11.1 %</w:t>
            </w:r>
          </w:p>
        </w:tc>
        <w:tc>
          <w:tcPr>
            <w:tcW w:w="50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36"/>
              <w:spacing w:after="0" w:line="203" w:lineRule="exact"/>
              <w:rPr>
                <w:sz w:val="20"/>
                <w:szCs w:val="20"/>
                <w:color w:val="auto"/>
              </w:rPr>
            </w:pPr>
            <w:r>
              <w:rPr>
                <w:rFonts w:ascii="Times New Roman" w:cs="Times New Roman" w:eastAsia="Times New Roman" w:hAnsi="Times New Roman"/>
                <w:sz w:val="18"/>
                <w:szCs w:val="18"/>
                <w:color w:val="auto"/>
              </w:rPr>
              <w:t>42,279</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43,625</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(3.1)%</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14,985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14,242</w:t>
            </w: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i w:val="1"/>
                <w:iCs w:val="1"/>
                <w:color w:val="auto"/>
              </w:rPr>
              <w:t>5.2 %</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42,660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39,688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7.5 %</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20" w:type="dxa"/>
            <w:vAlign w:val="bottom"/>
          </w:tcPr>
          <w:p>
            <w:pPr>
              <w:spacing w:after="0"/>
              <w:rPr>
                <w:sz w:val="19"/>
                <w:szCs w:val="19"/>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(10,745)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(9,481)</w:t>
            </w: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i w:val="1"/>
                <w:iCs w:val="1"/>
                <w:color w:val="auto"/>
              </w:rPr>
              <w:t>13.3 %</w:t>
            </w:r>
          </w:p>
        </w:tc>
        <w:tc>
          <w:tcPr>
            <w:tcW w:w="500" w:type="dxa"/>
            <w:vAlign w:val="bottom"/>
          </w:tcPr>
          <w:p>
            <w:pPr>
              <w:spacing w:after="0"/>
              <w:rPr>
                <w:sz w:val="19"/>
                <w:szCs w:val="19"/>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(31,209)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(25,085)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24.4 %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(3,924)</w:t>
            </w: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i w:val="1"/>
                <w:iCs w:val="1"/>
                <w:color w:val="auto"/>
              </w:rPr>
              <w:t>(39.3)%</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(9,150)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(10,845)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(15.6)%</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w:t>
            </w:r>
            <w:r>
              <w:rPr>
                <w:rFonts w:ascii="Times New Roman" w:cs="Times New Roman" w:eastAsia="Times New Roman" w:hAnsi="Times New Roman"/>
                <w:sz w:val="14"/>
                <w:szCs w:val="14"/>
                <w:i w:val="1"/>
                <w:iCs w:val="1"/>
                <w:color w:val="auto"/>
              </w:rPr>
              <w:t>(1), (2)</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837</w:t>
            </w: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i w:val="1"/>
                <w:iCs w:val="1"/>
                <w:color w:val="auto"/>
              </w:rPr>
              <w:t>122.1 %</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3,758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(38.8)%</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Ratios: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ratio</w:t>
            </w:r>
          </w:p>
        </w:tc>
        <w:tc>
          <w:tcPr>
            <w:tcW w:w="23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71.7 %</w:t>
            </w:r>
          </w:p>
        </w:tc>
        <w:tc>
          <w:tcPr>
            <w:tcW w:w="20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66.6 %</w:t>
            </w:r>
          </w:p>
        </w:tc>
        <w:tc>
          <w:tcPr>
            <w:tcW w:w="2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73.2 %</w:t>
            </w:r>
          </w:p>
        </w:tc>
        <w:tc>
          <w:tcPr>
            <w:tcW w:w="21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63.2 %</w:t>
            </w:r>
          </w:p>
        </w:tc>
      </w:tr>
      <w:tr>
        <w:trPr>
          <w:trHeight w:val="230"/>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 ratio</w:t>
            </w:r>
          </w:p>
        </w:tc>
        <w:tc>
          <w:tcPr>
            <w:tcW w:w="23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15.9 %</w:t>
            </w:r>
          </w:p>
        </w:tc>
        <w:tc>
          <w:tcPr>
            <w:tcW w:w="20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27.5 %</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21.4 %</w:t>
            </w:r>
          </w:p>
        </w:tc>
        <w:tc>
          <w:tcPr>
            <w:tcW w:w="21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27.3 %</w:t>
            </w:r>
          </w:p>
        </w:tc>
      </w:tr>
      <w:tr>
        <w:trPr>
          <w:trHeight w:val="234"/>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Combined ratio</w:t>
            </w:r>
          </w:p>
        </w:tc>
        <w:tc>
          <w:tcPr>
            <w:tcW w:w="23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87.6 %</w:t>
            </w:r>
          </w:p>
        </w:tc>
        <w:tc>
          <w:tcPr>
            <w:tcW w:w="20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94.1 %</w:t>
            </w:r>
          </w:p>
        </w:tc>
        <w:tc>
          <w:tcPr>
            <w:tcW w:w="2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94.6 %</w:t>
            </w:r>
          </w:p>
        </w:tc>
        <w:tc>
          <w:tcPr>
            <w:tcW w:w="21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90.5 %</w:t>
            </w:r>
          </w:p>
        </w:tc>
      </w:tr>
    </w:tbl>
    <w:p>
      <w:pPr>
        <w:spacing w:after="0" w:line="177" w:lineRule="exact"/>
        <w:rPr>
          <w:sz w:val="20"/>
          <w:szCs w:val="20"/>
          <w:color w:val="auto"/>
        </w:rPr>
      </w:pPr>
    </w:p>
    <w:p>
      <w:pPr>
        <w:ind w:left="660" w:right="220" w:hanging="328"/>
        <w:spacing w:after="0" w:line="262" w:lineRule="auto"/>
        <w:tabs>
          <w:tab w:leader="none" w:pos="654"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is a non-GAAP Measure. See “Reconciliation of Non-GAAP Measures” for a reconciliation to income (loss) before tax and for additional information.</w:t>
      </w:r>
    </w:p>
    <w:p>
      <w:pPr>
        <w:ind w:left="660" w:right="700" w:hanging="328"/>
        <w:spacing w:after="0" w:line="260" w:lineRule="auto"/>
        <w:tabs>
          <w:tab w:leader="none" w:pos="654"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results include gross fee income of $4.6 million and $14.2 million for the three and nine months ended September 30, 2020, respectively ($4.0 million and $11.6 million for the same periods in the prior year).</w:t>
      </w:r>
    </w:p>
    <w:p>
      <w:pPr>
        <w:spacing w:after="0" w:line="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loss ratio of 71.7% and 73.2% for the three and nine months ended September 30, 2020 includes $2.0 million and $4.0 million (13.3 and 9.4 percentage points), respectively, of net favorable development in our loss estimates for prior accident years. The loss ratio of 66.6% and 63.2% for the three and nine months ended September 30, 2019 includes $1.0 million and $4.3 million (7.0 and 10.7 percentage points), respectively, of net favorable reserve development in our loss estimates for prior accident years. The favorable reserve development for both periods reflects the fact that actual loss emergence of the workers’ compensation book has been better than expected.</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expense ratio of the Specialty Admitted Insurance segment was 15.9% and 21.4% for the three and nine months ended September 30, 2020, respectively, compared to the prior year ratios of 27.5% and 27.3%, respectively. Gross fee income from the fronting business increased 17.0% and 22.8% for the three and nine months ended September 30, 2020, respectively, compared to the same periods in the prior year as a result of a mix shift to fronting arrangements with higher fees and an increase in the total number of fronted programs. Through three quarters of 2020, the segment has added eight new fronting relationships.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Underwriting results for the Specialty Admitted Insurance segment in the nine months ended September 30, 2020 were favorably impacted by a $1.2 million adjustment to fee income on one fronted program (a reduction in commission expense, representing a 2.8 point reduction in the combined ratio for the respective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items discussed above, the Specialty Admitted Insurance segment had an underwriting profit of $1.9 million and $2.3 million for the three and nine months ended September 30, 2020, respectively, compared to an underwriting profit of $837,000 and $3.8 million for the three and nine months ended September 30, 2019,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Casualty Reinsurance Segment</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for the Casualty Reinsurance segment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3"/>
                <w:szCs w:val="13"/>
                <w:color w:val="auto"/>
              </w:rPr>
            </w:pPr>
          </w:p>
        </w:tc>
        <w:tc>
          <w:tcPr>
            <w:tcW w:w="236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80" w:type="dxa"/>
            <w:vAlign w:val="bottom"/>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19,805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46,724</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(57.6)%</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90,852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114,810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(20.9)%</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6"/>
              <w:spacing w:after="0" w:line="203" w:lineRule="exact"/>
              <w:rPr>
                <w:sz w:val="20"/>
                <w:szCs w:val="20"/>
                <w:color w:val="auto"/>
              </w:rPr>
            </w:pPr>
            <w:r>
              <w:rPr>
                <w:rFonts w:ascii="Times New Roman" w:cs="Times New Roman" w:eastAsia="Times New Roman" w:hAnsi="Times New Roman"/>
                <w:sz w:val="18"/>
                <w:szCs w:val="18"/>
                <w:color w:val="auto"/>
              </w:rPr>
              <w:t>19,805</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37,584</w:t>
            </w:r>
          </w:p>
        </w:tc>
        <w:tc>
          <w:tcPr>
            <w:tcW w:w="1280" w:type="dxa"/>
            <w:vAlign w:val="bottom"/>
          </w:tcPr>
          <w:p>
            <w:pPr>
              <w:jc w:val="right"/>
              <w:ind w:right="56"/>
              <w:spacing w:after="0" w:line="203" w:lineRule="exact"/>
              <w:rPr>
                <w:sz w:val="20"/>
                <w:szCs w:val="20"/>
                <w:color w:val="auto"/>
              </w:rPr>
            </w:pPr>
            <w:r>
              <w:rPr>
                <w:rFonts w:ascii="Times New Roman" w:cs="Times New Roman" w:eastAsia="Times New Roman" w:hAnsi="Times New Roman"/>
                <w:sz w:val="18"/>
                <w:szCs w:val="18"/>
                <w:i w:val="1"/>
                <w:iCs w:val="1"/>
                <w:color w:val="auto"/>
              </w:rPr>
              <w:t>(47.3)%</w:t>
            </w:r>
          </w:p>
        </w:tc>
        <w:tc>
          <w:tcPr>
            <w:tcW w:w="48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36"/>
              <w:spacing w:after="0" w:line="203" w:lineRule="exact"/>
              <w:rPr>
                <w:sz w:val="20"/>
                <w:szCs w:val="20"/>
                <w:color w:val="auto"/>
              </w:rPr>
            </w:pPr>
            <w:r>
              <w:rPr>
                <w:rFonts w:ascii="Times New Roman" w:cs="Times New Roman" w:eastAsia="Times New Roman" w:hAnsi="Times New Roman"/>
                <w:sz w:val="18"/>
                <w:szCs w:val="18"/>
                <w:color w:val="auto"/>
              </w:rPr>
              <w:t>75,101</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105,695</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(28.9)%</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33,044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34,373</w:t>
            </w:r>
          </w:p>
        </w:tc>
        <w:tc>
          <w:tcPr>
            <w:tcW w:w="1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(3.9)%</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99,514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105,600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(5.8)%</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20" w:type="dxa"/>
            <w:vAlign w:val="bottom"/>
          </w:tcPr>
          <w:p>
            <w:pPr>
              <w:spacing w:after="0"/>
              <w:rPr>
                <w:sz w:val="19"/>
                <w:szCs w:val="19"/>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(25,472)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(28,449)</w:t>
            </w: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(10.5)%</w:t>
            </w:r>
          </w:p>
        </w:tc>
        <w:tc>
          <w:tcPr>
            <w:tcW w:w="480" w:type="dxa"/>
            <w:vAlign w:val="bottom"/>
          </w:tcPr>
          <w:p>
            <w:pPr>
              <w:spacing w:after="0"/>
              <w:rPr>
                <w:sz w:val="19"/>
                <w:szCs w:val="19"/>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(71,671)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(75,983)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(5.7)%</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(8,261)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(10,212)</w:t>
            </w:r>
          </w:p>
        </w:tc>
        <w:tc>
          <w:tcPr>
            <w:tcW w:w="1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(19.1)%</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(30,962)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(33,678)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(8.1)%</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loss </w:t>
            </w:r>
            <w:r>
              <w:rPr>
                <w:rFonts w:ascii="Times New Roman" w:cs="Times New Roman" w:eastAsia="Times New Roman" w:hAnsi="Times New Roman"/>
                <w:sz w:val="14"/>
                <w:szCs w:val="14"/>
                <w:i w:val="1"/>
                <w:iCs w:val="1"/>
                <w:color w:val="auto"/>
              </w:rPr>
              <w:t>(1)</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(4,288)</w:t>
            </w: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(83.9)%</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(4,061)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Ratios: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2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77.1 %</w:t>
            </w:r>
          </w:p>
        </w:tc>
        <w:tc>
          <w:tcPr>
            <w:tcW w:w="20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82.8 %</w:t>
            </w:r>
          </w:p>
        </w:tc>
        <w:tc>
          <w:tcPr>
            <w:tcW w:w="2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72.0 %</w:t>
            </w:r>
          </w:p>
        </w:tc>
        <w:tc>
          <w:tcPr>
            <w:tcW w:w="222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72.0 %</w:t>
            </w: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2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25.0 %</w:t>
            </w:r>
          </w:p>
        </w:tc>
        <w:tc>
          <w:tcPr>
            <w:tcW w:w="20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29.7 %</w:t>
            </w:r>
          </w:p>
        </w:tc>
        <w:tc>
          <w:tcPr>
            <w:tcW w:w="2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31.1 %</w:t>
            </w:r>
          </w:p>
        </w:tc>
        <w:tc>
          <w:tcPr>
            <w:tcW w:w="222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31.8 %</w:t>
            </w: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2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102.1 %</w:t>
            </w:r>
          </w:p>
        </w:tc>
        <w:tc>
          <w:tcPr>
            <w:tcW w:w="20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112.5 %</w:t>
            </w:r>
          </w:p>
        </w:tc>
        <w:tc>
          <w:tcPr>
            <w:tcW w:w="2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103.1 %</w:t>
            </w:r>
          </w:p>
        </w:tc>
        <w:tc>
          <w:tcPr>
            <w:tcW w:w="222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103.8 %</w:t>
            </w:r>
          </w:p>
        </w:tc>
      </w:tr>
    </w:tbl>
    <w:p>
      <w:pPr>
        <w:spacing w:after="0" w:line="177" w:lineRule="exact"/>
        <w:rPr>
          <w:sz w:val="20"/>
          <w:szCs w:val="20"/>
          <w:color w:val="auto"/>
        </w:rPr>
      </w:pPr>
    </w:p>
    <w:p>
      <w:pPr>
        <w:ind w:left="660" w:right="40" w:hanging="328"/>
        <w:spacing w:after="0" w:line="284" w:lineRule="auto"/>
        <w:tabs>
          <w:tab w:leader="none" w:pos="654"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Loss is a non-GAAP Measure. See “Reconciliation of Non-GAAP Measures” for a reconciliation to income (loss) before tax and for additional information.</w:t>
      </w:r>
    </w:p>
    <w:p>
      <w:pPr>
        <w:spacing w:after="0" w:line="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Casualty Reinsurance segment focuses on lower volatility, proportional reinsurance which requires larger ceding commissions resulting in a higher commission expense than in our other segments.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loss ratio of 77.1% and 72.0% for the three and nine months ended September 30, 2020, respectively, includes $6.2 million and $13.1 million (18.8 and 13.1 percentage points), respectively, of net adverse development in our loss estimates for prior accident years. The loss ratio of 82.8% and 72.0% for the three and nine months ended September 30, 2019, respectively, includes $7.9 million and $13.3 million (23.1 and 12.6 percentage points) of net adverse reserve development in our loss estimates for prior accident years.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expense ratio of the Casualty Reinsurance segment was 25.0% and 31.1% for the three and nine months ended September 30, 2020, respectively, compared to 29.7% and 31.8% in the respective prior year periods. Commission slide adjustments related to incurred losses reduced the expense ratio by 8.9 and 4.4 points in the three months ended September 30, 2020 and 2019, respectively (3.6% and 2.3% for the respective nine month periods).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items discussed above, the Casualty Reinsurance segment had underwriting losses of $689,000 and $3.1 million for the three and nine months ended September 30, 2020, respectively, compared to underwriting losses of $4.3 million and $4.1 million for the three and nine months ended September 30, 2019.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 indicator of reserve strength that we monitor closely is the percentage of our gross and net loss reserves that are comprised of incurred but not reported (“IBNR”) reserves.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gross reserve for losses and loss adjustment expenses at September 30, 2020 was $2,106.7 million. Of this amount, 59.8% relates to amounts that are IBNR. This amount was 63.1% at December 31, 2019. The Company’s gross reserves for losses and loss adjustment expenses by segment are summarized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Gross Reserves at September 30, 2020</w:t>
            </w:r>
          </w:p>
        </w:tc>
        <w:tc>
          <w:tcPr>
            <w:tcW w:w="940" w:type="dxa"/>
            <w:vAlign w:val="bottom"/>
            <w:tcBorders>
              <w:bottom w:val="single" w:sz="8" w:color="auto"/>
            </w:tcBorders>
          </w:tcPr>
          <w:p>
            <w:pPr>
              <w:spacing w:after="0"/>
              <w:rPr>
                <w:sz w:val="16"/>
                <w:szCs w:val="16"/>
                <w:color w:val="auto"/>
              </w:rPr>
            </w:pPr>
          </w:p>
        </w:tc>
      </w:tr>
      <w:tr>
        <w:trPr>
          <w:trHeight w:val="188"/>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Case</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IBNR</w:t>
            </w: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3"/>
        </w:trPr>
        <w:tc>
          <w:tcPr>
            <w:tcW w:w="6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1,242,628</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354,173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573,287</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290,834</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847,811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1,258,938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2,106,749</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2020, the amount of net reserves prior to the $335,000 allowance for uncollectible reinsurance recoverables of $1,336.6 million that related to IBNR was 56.3%. This amount was 60.3% at December 31, 2019. The Company’s net reserves for losses and loss adjustment expenses by segment are summarized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Net Reserves at September 30, 2020</w:t>
            </w:r>
          </w:p>
        </w:tc>
        <w:tc>
          <w:tcPr>
            <w:tcW w:w="960" w:type="dxa"/>
            <w:vAlign w:val="bottom"/>
            <w:tcBorders>
              <w:bottom w:val="single" w:sz="8" w:color="auto"/>
            </w:tcBorders>
          </w:tcPr>
          <w:p>
            <w:pPr>
              <w:spacing w:after="0"/>
              <w:rPr>
                <w:sz w:val="16"/>
                <w:szCs w:val="16"/>
                <w:color w:val="auto"/>
              </w:rPr>
            </w:pPr>
          </w:p>
        </w:tc>
      </w:tr>
      <w:tr>
        <w:trPr>
          <w:trHeight w:val="188"/>
        </w:trPr>
        <w:tc>
          <w:tcPr>
            <w:tcW w:w="6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Case</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IBNR</w:t>
            </w: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3"/>
        </w:trPr>
        <w:tc>
          <w:tcPr>
            <w:tcW w:w="6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959,217</w:t>
            </w:r>
          </w:p>
        </w:tc>
      </w:tr>
      <w:tr>
        <w:trPr>
          <w:trHeight w:val="23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93,637</w:t>
            </w: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283,745</w:t>
            </w: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752,210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1,336,599</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underwriting, acquisition, and insurance expenses of the Excess and Surplus Lines segment, the Specialty Admitted Insurance segment, and the Casualty Reinsurance segment discussed previously, other operating expenses also include the expenses of the Corporate and Other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Other operating expenses of the Corporate and Other segment represent the expenses of both the Bermuda and U.S. holding companies that were not reimbursed by our subsidiaries, including costs associated with our internal quota share, rating agencies and strategic initiatives. These costs vary from period-to-period based on the status of these initiatives.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operating expenses of the Corporate and Other segment were $7.8 million and $23.6 million for the three and nine months ended September 30, 2020, respectively, compared to $7.3 million and $22.6 million for the same periods in the prior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Results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investment income was $15.0 million and $51.1 million for the three and nine months ended September 30, 2020, respectively, compared to $17.9 million and $54.8 million for the same periods in the prior year. The change in our net investment income is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9"/>
        </w:trPr>
        <w:tc>
          <w:tcPr>
            <w:tcW w:w="3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3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3"/>
        </w:trPr>
        <w:tc>
          <w:tcPr>
            <w:tcW w:w="3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energy LLCs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(87.3)%</w:t>
            </w:r>
          </w:p>
        </w:tc>
      </w:tr>
      <w:tr>
        <w:trPr>
          <w:trHeight w:val="229"/>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private investments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3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i w:val="1"/>
                <w:iCs w:val="1"/>
                <w:color w:val="auto"/>
              </w:rPr>
              <w: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(65.5)%</w:t>
            </w:r>
          </w:p>
        </w:tc>
      </w:tr>
      <w:tr>
        <w:trPr>
          <w:trHeight w:val="22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(74.8)%</w:t>
            </w:r>
          </w:p>
        </w:tc>
      </w:tr>
      <w:tr>
        <w:trPr>
          <w:trHeight w:val="229"/>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net investment income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48,927</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1.5 %</w:t>
            </w:r>
          </w:p>
        </w:tc>
      </w:tr>
      <w:tr>
        <w:trPr>
          <w:trHeight w:val="248"/>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(6.7)%</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Company's private investments generated income of $533,000 and $1.5 million for the three and nine months ended September 30, 2020, respectively (compared to income of $1.4 million and $5.9 million in the respective prior year periods). Excluding private investments, our net investment income for the three months ended September 30, 2020 decreased 12.5% from the prior year principally due to lower investment income from bank loan participations resulting from a smaller portfolio and lower investment yields. For the nine months ended September 30, 2020, our net investment income excluding private investments increased by 1.5% over the prior year driven by asset growth in our portfolio and income on restricted cash equivalents. The average duration of our fixed maturity portfolio was 4.3 years at September 30, 2020.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Major categories of the Company’s net investment income are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gridSpan w:val="9"/>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500" w:type="dxa"/>
            <w:vAlign w:val="bottom"/>
            <w:gridSpan w:val="6"/>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9"/>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5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9"/>
          </w:tcPr>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10,229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33,424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29,876</w:t>
            </w: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16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16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0" w:type="dxa"/>
            <w:vAlign w:val="bottom"/>
          </w:tcPr>
          <w:p>
            <w:pPr>
              <w:spacing w:after="0"/>
              <w:rPr>
                <w:sz w:val="1"/>
                <w:szCs w:val="1"/>
                <w:color w:val="auto"/>
              </w:rPr>
            </w:pPr>
          </w:p>
        </w:tc>
      </w:tr>
      <w:tr>
        <w:trPr>
          <w:trHeight w:val="176"/>
        </w:trPr>
        <w:tc>
          <w:tcPr>
            <w:tcW w:w="5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cash equivalents, restricted cash equivalents and short-term</w:t>
            </w:r>
          </w:p>
        </w:tc>
        <w:tc>
          <w:tcPr>
            <w:tcW w:w="160" w:type="dxa"/>
            <w:vAlign w:val="bottom"/>
            <w:shd w:val="clear" w:color="auto" w:fill="CCEEFF"/>
          </w:tcPr>
          <w:p>
            <w:pPr>
              <w:spacing w:after="0"/>
              <w:rPr>
                <w:sz w:val="15"/>
                <w:szCs w:val="15"/>
                <w:color w:val="auto"/>
              </w:rPr>
            </w:pPr>
          </w:p>
        </w:tc>
        <w:tc>
          <w:tcPr>
            <w:tcW w:w="11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6,470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16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15,990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54,733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58,219</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14,959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17,878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54,844</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investment returns:</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6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80" w:type="dxa"/>
            <w:vAlign w:val="bottom"/>
            <w:gridSpan w:val="9"/>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23"/>
                <w:szCs w:val="23"/>
                <w:color w:val="auto"/>
              </w:rPr>
            </w:pPr>
          </w:p>
        </w:tc>
        <w:tc>
          <w:tcPr>
            <w:tcW w:w="2500" w:type="dxa"/>
            <w:vAlign w:val="bottom"/>
            <w:gridSpan w:val="6"/>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gross investment yield on:</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fixed maturity securities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Of our total cash and invested assets of $2,282.1 million at September 30, 2020 (excluding restricted cash equivalents), $140.0 million represents the cash and cash equivalents portion of the portfolio. The majority of the portfolio, or $1,813.5 million, is comprised of fixed maturity securities that are classified as available-for-sale and carried at fair value with unrealized gains and losses on these securities reported, net of applicable taxes, as a separate component of accumulated comprehensive income. Also included in our investments are $131.2 million of bank loan participations, $79.9 million of equity securities, $72.0 million of short-term investments, and $45.6 million of other invested assets.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In connection with the adoption of ASU 2016-13 on January 1, 2020, the Company elected the fair value option in accounting for its portfolio of bank loan participations. Under the fair value option, bank loan participations are measured at fair value, and changes in unrealized gains and losses in bank loan participations are reported in our income statement as net realized and unrealized gains (losses) on investments. </w:t>
      </w:r>
      <w:r>
        <w:rPr>
          <w:rFonts w:ascii="Times New Roman" w:cs="Times New Roman" w:eastAsia="Times New Roman" w:hAnsi="Times New Roman"/>
          <w:sz w:val="18"/>
          <w:szCs w:val="18"/>
          <w:color w:val="000000"/>
        </w:rPr>
        <w:t>Prior to January 1, 2020, bank loans were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classified as held-for-investment and reported at amortized cost, net of any allowance for credit losses. Changes in the credit allowance were included in </w:t>
      </w:r>
      <w:r>
        <w:rPr>
          <w:rFonts w:ascii="Times New Roman" w:cs="Times New Roman" w:eastAsia="Times New Roman" w:hAnsi="Times New Roman"/>
          <w:sz w:val="18"/>
          <w:szCs w:val="18"/>
          <w:color w:val="231F20"/>
        </w:rPr>
        <w:t>net realized and unrealized gains (losses)</w:t>
      </w:r>
      <w:r>
        <w:rPr>
          <w:rFonts w:ascii="Times New Roman" w:cs="Times New Roman" w:eastAsia="Times New Roman" w:hAnsi="Times New Roman"/>
          <w:sz w:val="18"/>
          <w:szCs w:val="18"/>
          <w:color w:val="000000"/>
        </w:rPr>
        <w:t>. At December 31, 2019,</w:t>
      </w:r>
      <w:r>
        <w:rPr>
          <w:rFonts w:ascii="Times New Roman" w:cs="Times New Roman" w:eastAsia="Times New Roman" w:hAnsi="Times New Roman"/>
          <w:sz w:val="18"/>
          <w:szCs w:val="18"/>
          <w:color w:val="231F20"/>
        </w:rPr>
        <w:t xml:space="preserve"> management concluded that seven loans from six issuers in the Company's bank loan portfolio were impaired. The impaired loans had a carrying value of $6.9 million, unpaid principal of $14.3 million, and an allowance for credit losses of $7.2 million, $5.1 million of which related to two loans from one issuer who was experiencing liquidity concerns resulting from revenue declines and poor growth prospects in its most profitable segment.</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At September 30, 2020 and December 31, 2019, the fair market value of these securities was $131.2 million and $252.4 million, respectively.</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the Company recognized net realized and unrealized investment losses of $27.9 million ($8.9 million of net realized and unrealized investment gains for the three months ended September 30, 2020), including $7.6 million of net unrealized losses on bank loan participations, $6.9 million of losses for the change in the fair value of equity securities, $14.1 million of net realized investment losses on the sale of bank loan securities, and $905,000 of net realized investment gains on the sale of fixed maturity securities.</w:t>
      </w:r>
    </w:p>
    <w:p>
      <w:pPr>
        <w:spacing w:after="0" w:line="7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2019, the Company recognized net realized and unrealized investment gains of $331,000 ($2.4 million of net realized and unrealized investment losses for the three months ended September 30, 2019), including $8.7 million of gains for the change in the fair value of equity securities, $7.7 million of realized losses for changes in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on impaired bank loans, $1.2 million of net realized investment losses on the sale of bank loan securities, and $809,000 of net realized investment gains on the sale of fixed maturity securities.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conjunction with its outside investment managers, the Company performs quarterly reviews of all securities within its investment portfolio to determine whether any impairment has occurred. Management concluded that none of its fixed maturity securities were impaired at September 30, 2020 or December 31, 2019. At September 30, 2020, 99.5% of the Company’s fixed maturity security portfolio was rated “BBB-” or better (“investment grade”) by Standard &amp; Poor’s or received an equivalent rating from another nationally recognized rating agency. </w:t>
      </w:r>
      <w:r>
        <w:rPr>
          <w:rFonts w:ascii="Times New Roman" w:cs="Times New Roman" w:eastAsia="Times New Roman" w:hAnsi="Times New Roman"/>
          <w:sz w:val="18"/>
          <w:szCs w:val="18"/>
          <w:color w:val="231F20"/>
        </w:rPr>
        <w:t>Management does not intend to sell available-for-sale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securities in an unrealized loss position, and it is not “more likely than not” that the Company will be required to sell these securities before a recovery in their value to their amortized cost basis occurs.</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fixed maturity securities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Cost or</w:t>
            </w:r>
          </w:p>
        </w:tc>
        <w:tc>
          <w:tcPr>
            <w:tcW w:w="240" w:type="dxa"/>
            <w:vAlign w:val="bottom"/>
          </w:tcPr>
          <w:p>
            <w:pPr>
              <w:spacing w:after="0"/>
              <w:rPr>
                <w:sz w:val="11"/>
                <w:szCs w:val="11"/>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3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Cost or</w:t>
            </w:r>
          </w:p>
        </w:tc>
        <w:tc>
          <w:tcPr>
            <w:tcW w:w="260" w:type="dxa"/>
            <w:vAlign w:val="bottom"/>
          </w:tcPr>
          <w:p>
            <w:pPr>
              <w:spacing w:after="0"/>
              <w:rPr>
                <w:sz w:val="11"/>
                <w:szCs w:val="11"/>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3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271,218</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288,596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15.9 %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159,894</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11.7 %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306,469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264,146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18.4 %</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776,955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632,221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44.1 %</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335,834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252,457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17.6 %</w:t>
            </w:r>
          </w:p>
        </w:tc>
        <w:tc>
          <w:tcPr>
            <w:tcW w:w="0" w:type="dxa"/>
            <w:vAlign w:val="bottom"/>
          </w:tcPr>
          <w:p>
            <w:pPr>
              <w:spacing w:after="0"/>
              <w:rPr>
                <w:sz w:val="1"/>
                <w:szCs w:val="1"/>
                <w:color w:val="auto"/>
              </w:rPr>
            </w:pPr>
          </w:p>
        </w:tc>
      </w:tr>
      <w:tr>
        <w:trPr>
          <w:trHeight w:val="175"/>
        </w:trPr>
        <w:tc>
          <w:tcPr>
            <w:tcW w:w="33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U.S. Treasury securities and obligations</w:t>
            </w: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100,742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103,594</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114,477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115,667</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8.1 %</w:t>
            </w:r>
          </w:p>
        </w:tc>
        <w:tc>
          <w:tcPr>
            <w:tcW w:w="0" w:type="dxa"/>
            <w:vAlign w:val="bottom"/>
          </w:tcPr>
          <w:p>
            <w:pPr>
              <w:spacing w:after="0"/>
              <w:rPr>
                <w:sz w:val="1"/>
                <w:szCs w:val="1"/>
                <w:color w:val="auto"/>
              </w:rPr>
            </w:pPr>
          </w:p>
        </w:tc>
      </w:tr>
      <w:tr>
        <w:trPr>
          <w:trHeight w:val="230"/>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guaranteed by the U.S. government</w:t>
            </w: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0.1 %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0.1 %</w:t>
            </w:r>
          </w:p>
        </w:tc>
        <w:tc>
          <w:tcPr>
            <w:tcW w:w="0" w:type="dxa"/>
            <w:vAlign w:val="bottom"/>
          </w:tcPr>
          <w:p>
            <w:pPr>
              <w:spacing w:after="0"/>
              <w:rPr>
                <w:sz w:val="1"/>
                <w:szCs w:val="1"/>
                <w:color w:val="auto"/>
              </w:rPr>
            </w:pPr>
          </w:p>
        </w:tc>
      </w:tr>
      <w:tr>
        <w:trPr>
          <w:trHeight w:val="156"/>
        </w:trPr>
        <w:tc>
          <w:tcPr>
            <w:tcW w:w="33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available-for-</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1,724,561</w:t>
            </w:r>
          </w:p>
        </w:tc>
        <w:tc>
          <w:tcPr>
            <w:tcW w:w="120" w:type="dxa"/>
            <w:vAlign w:val="bottom"/>
          </w:tcPr>
          <w:p>
            <w:pPr>
              <w:spacing w:after="0"/>
              <w:rPr>
                <w:sz w:val="13"/>
                <w:szCs w:val="13"/>
                <w:color w:val="auto"/>
              </w:rPr>
            </w:pPr>
          </w:p>
        </w:tc>
        <w:tc>
          <w:tcPr>
            <w:tcW w:w="240" w:type="dxa"/>
            <w:vAlign w:val="bottom"/>
            <w:vMerge w:val="restart"/>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1,813,471</w:t>
            </w:r>
          </w:p>
        </w:tc>
        <w:tc>
          <w:tcPr>
            <w:tcW w:w="1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1,398,533</w:t>
            </w:r>
          </w:p>
        </w:tc>
        <w:tc>
          <w:tcPr>
            <w:tcW w:w="100" w:type="dxa"/>
            <w:vAlign w:val="bottom"/>
          </w:tcPr>
          <w:p>
            <w:pPr>
              <w:spacing w:after="0"/>
              <w:rPr>
                <w:sz w:val="13"/>
                <w:szCs w:val="13"/>
                <w:color w:val="auto"/>
              </w:rPr>
            </w:pPr>
          </w:p>
        </w:tc>
        <w:tc>
          <w:tcPr>
            <w:tcW w:w="260" w:type="dxa"/>
            <w:vAlign w:val="bottom"/>
            <w:vMerge w:val="restart"/>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1,433,626</w:t>
            </w:r>
          </w:p>
        </w:tc>
        <w:tc>
          <w:tcPr>
            <w:tcW w:w="1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sale</w:t>
            </w:r>
          </w:p>
        </w:tc>
        <w:tc>
          <w:tcPr>
            <w:tcW w:w="1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composition of the Company’s portfolio of available-for-sale fixed maturity securities by rating as of </w:t>
      </w:r>
      <w:r>
        <w:rPr>
          <w:rFonts w:ascii="Times New Roman" w:cs="Times New Roman" w:eastAsia="Times New Roman" w:hAnsi="Times New Roman"/>
          <w:sz w:val="18"/>
          <w:szCs w:val="18"/>
          <w:color w:val="231F20"/>
        </w:rPr>
        <w:t>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2020</w:t>
      </w:r>
      <w:r>
        <w:rPr>
          <w:rFonts w:ascii="Times New Roman" w:cs="Times New Roman" w:eastAsia="Times New Roman" w:hAnsi="Times New Roman"/>
          <w:sz w:val="18"/>
          <w:szCs w:val="18"/>
          <w:color w:val="000000"/>
        </w:rPr>
        <w: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Standard &amp; Poor’s or Equivalent Designation</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87"/>
        </w:trPr>
        <w:tc>
          <w:tcPr>
            <w:tcW w:w="8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3"/>
          </w:tcPr>
          <w:p>
            <w:pPr>
              <w:jc w:val="right"/>
              <w:ind w:right="773"/>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367,331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663,995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36.6 %</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578,440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194,880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BBB and unrated</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1,813,471</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At September 30, 2020, our portfolio of fixed maturity securities contained corporate fixed maturity securities (available-for-sale) with a fair value of $777.0 million. A summary of these securities by industry segment is shown below as of </w:t>
      </w:r>
      <w:r>
        <w:rPr>
          <w:rFonts w:ascii="Times New Roman" w:cs="Times New Roman" w:eastAsia="Times New Roman" w:hAnsi="Times New Roman"/>
          <w:sz w:val="18"/>
          <w:szCs w:val="18"/>
          <w:color w:val="231F20"/>
        </w:rPr>
        <w:t>September 30, 2020</w:t>
      </w:r>
      <w:r>
        <w:rPr>
          <w:rFonts w:ascii="Times New Roman" w:cs="Times New Roman" w:eastAsia="Times New Roman" w:hAnsi="Times New Roman"/>
          <w:sz w:val="18"/>
          <w:szCs w:val="18"/>
          <w:color w:val="auto"/>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87"/>
        </w:trPr>
        <w:tc>
          <w:tcPr>
            <w:tcW w:w="8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3"/>
          </w:tcPr>
          <w:p>
            <w:pPr>
              <w:jc w:val="right"/>
              <w:ind w:right="772"/>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 and Other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205,907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Discretionary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112,882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Care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Staples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115,526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776,955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Corporate fixed maturity securities (available-for-sale) include publicly traded securities and privately placed bonds as shown below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September 30, 2020</w:t>
      </w:r>
      <w:r>
        <w:rPr>
          <w:rFonts w:ascii="Times New Roman" w:cs="Times New Roman" w:eastAsia="Times New Roman" w:hAnsi="Times New Roman"/>
          <w:sz w:val="18"/>
          <w:szCs w:val="18"/>
          <w:color w:val="000000"/>
        </w:rPr>
        <w: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Public/Private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88"/>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Publicly traded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711,494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91.6 %</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Privately placed</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776,955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investments in fixed maturity securities summarized by contractual maturity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40" w:type="dxa"/>
            <w:vAlign w:val="bottom"/>
            <w:tcBorders>
              <w:bottom w:val="single" w:sz="8" w:color="auto"/>
            </w:tcBorders>
          </w:tcPr>
          <w:p>
            <w:pPr>
              <w:spacing w:after="0"/>
              <w:rPr>
                <w:sz w:val="16"/>
                <w:szCs w:val="16"/>
                <w:color w:val="auto"/>
              </w:rPr>
            </w:pPr>
          </w:p>
        </w:tc>
      </w:tr>
      <w:tr>
        <w:trPr>
          <w:trHeight w:val="133"/>
        </w:trPr>
        <w:tc>
          <w:tcPr>
            <w:tcW w:w="7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20" w:type="dxa"/>
            <w:vAlign w:val="bottom"/>
          </w:tcPr>
          <w:p>
            <w:pPr>
              <w:spacing w:after="0"/>
              <w:rPr>
                <w:sz w:val="11"/>
                <w:szCs w:val="11"/>
                <w:color w:val="auto"/>
              </w:rPr>
            </w:pPr>
          </w:p>
        </w:tc>
        <w:tc>
          <w:tcPr>
            <w:tcW w:w="980" w:type="dxa"/>
            <w:vAlign w:val="bottom"/>
            <w:gridSpan w:val="2"/>
          </w:tcPr>
          <w:p>
            <w:pPr>
              <w:jc w:val="center"/>
              <w:ind w:right="420"/>
              <w:spacing w:after="0" w:line="134" w:lineRule="exact"/>
              <w:rPr>
                <w:sz w:val="20"/>
                <w:szCs w:val="20"/>
                <w:color w:val="auto"/>
              </w:rPr>
            </w:pPr>
            <w:r>
              <w:rPr>
                <w:rFonts w:ascii="Times New Roman" w:cs="Times New Roman" w:eastAsia="Times New Roman" w:hAnsi="Times New Roman"/>
                <w:sz w:val="14"/>
                <w:szCs w:val="14"/>
                <w:b w:val="1"/>
                <w:bCs w:val="1"/>
                <w:color w:val="auto"/>
              </w:rPr>
              <w:t>Fair</w:t>
            </w:r>
          </w:p>
        </w:tc>
        <w:tc>
          <w:tcPr>
            <w:tcW w:w="1340" w:type="dxa"/>
            <w:vAlign w:val="bottom"/>
          </w:tcPr>
          <w:p>
            <w:pPr>
              <w:jc w:val="right"/>
              <w:ind w:right="434"/>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89"/>
        </w:trPr>
        <w:tc>
          <w:tcPr>
            <w:tcW w:w="7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 Value</w:t>
            </w:r>
          </w:p>
        </w:tc>
      </w:tr>
      <w:tr>
        <w:trPr>
          <w:trHeight w:val="183"/>
        </w:trPr>
        <w:tc>
          <w:tcPr>
            <w:tcW w:w="7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40" w:type="dxa"/>
            <w:vAlign w:val="bottom"/>
          </w:tcPr>
          <w:p>
            <w:pPr>
              <w:spacing w:after="0"/>
              <w:rPr>
                <w:sz w:val="15"/>
                <w:szCs w:val="15"/>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104,099</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5.8 %</w:t>
            </w:r>
          </w:p>
        </w:tc>
      </w:tr>
      <w:tr>
        <w:trPr>
          <w:trHeight w:val="229"/>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483,155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26.7 %</w:t>
            </w:r>
          </w:p>
        </w:tc>
      </w:tr>
      <w:tr>
        <w:trPr>
          <w:trHeight w:val="229"/>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330,510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18.2 %</w:t>
            </w:r>
          </w:p>
        </w:tc>
      </w:tr>
      <w:tr>
        <w:trPr>
          <w:trHeight w:val="230"/>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After ten years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250,152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13.8 %</w:t>
            </w:r>
          </w:p>
        </w:tc>
      </w:tr>
      <w:tr>
        <w:trPr>
          <w:trHeight w:val="229"/>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306,469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r>
      <w:tr>
        <w:trPr>
          <w:trHeight w:val="230"/>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335,834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18.5 %</w:t>
            </w:r>
          </w:p>
        </w:tc>
      </w:tr>
      <w:tr>
        <w:trPr>
          <w:trHeight w:val="229"/>
        </w:trPr>
        <w:tc>
          <w:tcPr>
            <w:tcW w:w="7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0.1 %</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1,813,471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640" w:firstLine="364"/>
        <w:spacing w:after="0" w:line="375" w:lineRule="auto"/>
        <w:rPr>
          <w:sz w:val="20"/>
          <w:szCs w:val="20"/>
          <w:color w:val="auto"/>
        </w:rPr>
      </w:pPr>
      <w:r>
        <w:rPr>
          <w:rFonts w:ascii="Times New Roman" w:cs="Times New Roman" w:eastAsia="Times New Roman" w:hAnsi="Times New Roman"/>
          <w:sz w:val="18"/>
          <w:szCs w:val="18"/>
          <w:color w:val="auto"/>
        </w:rPr>
        <w:t xml:space="preserve">At September 30, 2020, the Company had no investments in securitizations of alternative-A mortgages or sub-prime mortgages. </w:t>
      </w:r>
      <w:r>
        <w:rPr>
          <w:rFonts w:ascii="Times New Roman" w:cs="Times New Roman" w:eastAsia="Times New Roman" w:hAnsi="Times New Roman"/>
          <w:sz w:val="18"/>
          <w:szCs w:val="18"/>
          <w:b w:val="1"/>
          <w:bCs w:val="1"/>
          <w:i w:val="1"/>
          <w:iCs w:val="1"/>
          <w:color w:val="auto"/>
        </w:rPr>
        <w:t>Interest Expense</w:t>
      </w:r>
    </w:p>
    <w:p>
      <w:pPr>
        <w:spacing w:after="0" w:line="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Interest expense was $2.1 million and $2.6 million for the three months ended September 30, 2020 and 2019, respectively ($8.0 million and $8.1 million for the respective nine month periods). See “—Liquidity and Capital Resources—Sources and Uses of Funds” for more information regarding our senior bank debt facilities and trust preferred securities.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$149,000 and $447,000 of amortization of intangible assets for each of the three and nine months ended September 30, 2020 and 2019,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For the nine months ended September 30, 2020, our U.S. federal income tax expense was 14.4% of income before taxes. For the nine months ended September 30, 2019, our U.S. federal income tax expense was 22.4% of income before taxes. The effective tax rate for the nine months ended September 30, 2019 was elevated due to changes in reserve estimates between accident years in the commercial auto business, and the related impact on the mix of income reported by country.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organized as a Bermuda holding company with our operations conducted by our wholly-owned subsidiaries. Accordingly, our holding company may receive cash through loans from banks, issuance of common shares, borrowings on our credit facilities,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the reduction of statutory surplus to inadequate levels and could refuse to permit the payment of dividends calculated under any applicable formula. The maximum amount of dividends available to the U.S. holding company from our U.S. insurance subsidiaries during 2020 without regulatory approval is $26.7 million.</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The maximum combined amount of dividends and return of capital available to us from our Bermuda insurers in 2020 is calculated to be approximately $125.6 million. However, any dividend payment is contingent upon continued compliance with Bermuda regulatory requirements, including but not limited to the enhanced solvency requirement calculations.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September 30, 2020, the Bermuda holding company had $2.0 million of cash and cash equivalents. The U.S. holding company had $50.0 million of cash and invested assets, comprised of cash and cash equivalents of $11.5 million and other invested assets of $38.5 million, which are not subject to regulatory restrictions. Additionally, our U.K. intermediate holding company had no invested assets and cash of less than ten thousand dollars at September 30, 2020.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 $315.0 million senior revolving credit facility (as amended or amended and restated, the “2013 Facility”). The 2013 Facility is comprised of the following at September 30, 2020:</w:t>
      </w:r>
    </w:p>
    <w:p>
      <w:pPr>
        <w:spacing w:after="0" w:line="54" w:lineRule="exact"/>
        <w:rPr>
          <w:sz w:val="20"/>
          <w:szCs w:val="20"/>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$102.5 million secured revolving facility used by JRG Re to issue letters of credit for the benefit of third-party reinsureds. This portion of our credit facility is secured by our investment securities. At September 30, 2020, the Company had $76.0 million of letters of credit issued under the secured facility.</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$212.5 million unsecured revolving facility to meet the working capital needs of the Company. All unpaid principal on the revolver is due at maturity. Interest accrues quarterly and is payable in arrears at 3-month LIBOR plus a margin which is currently 1.5% and is subject to change according to terms in the credit agreement. At September 30, 2020, the Company had a drawn balance of $163.3 million outstanding on the unsecured revolver. We drew $60.0 million on this credit facility in the three months ended March 31, 2020 as a precautionary measure to increase our cash position and preserve financial flexibility in light of current uncertainty in the global markets resulting from the coronavirus (COVID-19) outbreak. $30.0 million was repaid in the three months ended June 30, 2020.</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September 30, 2020.</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September 30, 2020. The loans and letters of credit made or issued under the revolving line of credit of the 2017 Facility may be used to finance the borrowers' general corporate purposes. On November 8, 2019, the Company entered into a First Amendment to Credit Agreement which, among other things, lowered the applicable interest rate and modified certain negative covenants to be less restrictive. Interest accrues quarterly and is payable in arrears at variable rates which are subject to change according to terms in the credit agreement. At September 30, 2020, unsecured loans of $39.0 million and secured letters of credit totaling $17.5 million were outstanding on the 2017 Facility. We drew $59.0 million of unsecured capacity on this credit facility in the three months ended March 31, 2020 as a precautionary measure to increase our cash position and preserve financial flexibility in light of current uncertainty in the global markets resulting from the coronavirus (COVID-19) outbreak. $30.0 million was repaid in the three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May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September 30, 2020, and which, among other things, restrict our ability to assume senior indebtedness secured by our U.S. holding company’s common stock or its subsidiaries’ capital stock or to issue shares of its subsidiaries’ capital stock.</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nature and terms of the junior subordinated debt and trust preferred securities outstanding at September 30, 2020 (including the Company’s repurchases of a portion of these trust preferred securities):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Franklin</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56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Holdings II</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(Bermuda)</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56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4"/>
                <w:szCs w:val="14"/>
                <w:b w:val="1"/>
                <w:bCs w:val="1"/>
                <w:color w:val="auto"/>
              </w:rPr>
              <w:t>Capital Trust</w:t>
            </w: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Capital Trust</w:t>
            </w: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Capital Trust</w:t>
            </w: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Capital Trust</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Capital Trust</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5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II</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III</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IV</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0" w:type="dxa"/>
            <w:vAlign w:val="bottom"/>
          </w:tcPr>
          <w:p>
            <w:pPr>
              <w:spacing w:after="0"/>
              <w:rPr>
                <w:sz w:val="1"/>
                <w:szCs w:val="1"/>
                <w:color w:val="auto"/>
              </w:rPr>
            </w:pPr>
          </w:p>
        </w:tc>
      </w:tr>
      <w:tr>
        <w:trPr>
          <w:trHeight w:val="183"/>
        </w:trPr>
        <w:tc>
          <w:tcPr>
            <w:tcW w:w="3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2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Issue date</w:t>
            </w:r>
          </w:p>
        </w:tc>
        <w:tc>
          <w:tcPr>
            <w:tcW w:w="1560" w:type="dxa"/>
            <w:vAlign w:val="bottom"/>
            <w:shd w:val="clear" w:color="auto" w:fill="CCEEFF"/>
          </w:tcPr>
          <w:p>
            <w:pPr>
              <w:jc w:val="center"/>
              <w:ind w:right="34"/>
              <w:spacing w:after="0" w:line="176" w:lineRule="exact"/>
              <w:rPr>
                <w:sz w:val="20"/>
                <w:szCs w:val="20"/>
                <w:color w:val="auto"/>
              </w:rPr>
            </w:pPr>
            <w:r>
              <w:rPr>
                <w:rFonts w:ascii="Times New Roman" w:cs="Times New Roman" w:eastAsia="Times New Roman" w:hAnsi="Times New Roman"/>
                <w:sz w:val="18"/>
                <w:szCs w:val="18"/>
                <w:color w:val="auto"/>
                <w:w w:val="99"/>
              </w:rPr>
              <w:t>May 26,</w:t>
            </w:r>
          </w:p>
        </w:tc>
        <w:tc>
          <w:tcPr>
            <w:tcW w:w="1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December 15,</w:t>
            </w:r>
          </w:p>
        </w:tc>
        <w:tc>
          <w:tcPr>
            <w:tcW w:w="1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June 15,</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December 11,</w:t>
            </w:r>
          </w:p>
        </w:tc>
        <w:tc>
          <w:tcPr>
            <w:tcW w:w="1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January 10,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w w:val="99"/>
              </w:rPr>
              <w:t>2004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amount of trust preferred securities</w:t>
            </w:r>
          </w:p>
        </w:tc>
        <w:tc>
          <w:tcPr>
            <w:tcW w:w="156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rPr>
              <w:t>$7,000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$54,000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junior subordinated debt</w:t>
            </w:r>
          </w:p>
        </w:tc>
        <w:tc>
          <w:tcPr>
            <w:tcW w:w="156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color w:val="auto"/>
              </w:rPr>
              <w:t>$7,217</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$15,464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$20,619</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$55,670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$30,928</w:t>
            </w: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Carrying amount of junior subordinated debt net</w:t>
            </w:r>
          </w:p>
        </w:tc>
        <w:tc>
          <w:tcPr>
            <w:tcW w:w="1560" w:type="dxa"/>
            <w:vAlign w:val="bottom"/>
            <w:vMerge w:val="restart"/>
          </w:tcPr>
          <w:p>
            <w:pPr>
              <w:jc w:val="center"/>
              <w:ind w:right="54"/>
              <w:spacing w:after="0"/>
              <w:rPr>
                <w:sz w:val="20"/>
                <w:szCs w:val="20"/>
                <w:color w:val="auto"/>
              </w:rPr>
            </w:pPr>
            <w:r>
              <w:rPr>
                <w:rFonts w:ascii="Times New Roman" w:cs="Times New Roman" w:eastAsia="Times New Roman" w:hAnsi="Times New Roman"/>
                <w:sz w:val="18"/>
                <w:szCs w:val="18"/>
                <w:color w:val="auto"/>
              </w:rPr>
              <w:t>$7,217</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$15,464</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$20,619</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$44,827</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$15,928</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repurchases</w:t>
            </w:r>
          </w:p>
        </w:tc>
        <w:tc>
          <w:tcPr>
            <w:tcW w:w="156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Maturity date of junior subordinated debt, unless</w:t>
            </w:r>
          </w:p>
        </w:tc>
        <w:tc>
          <w:tcPr>
            <w:tcW w:w="1560" w:type="dxa"/>
            <w:vAlign w:val="bottom"/>
            <w:shd w:val="clear" w:color="auto" w:fill="CCEEFF"/>
          </w:tcPr>
          <w:p>
            <w:pPr>
              <w:jc w:val="center"/>
              <w:ind w:right="34"/>
              <w:spacing w:after="0" w:line="176" w:lineRule="exact"/>
              <w:rPr>
                <w:sz w:val="20"/>
                <w:szCs w:val="20"/>
                <w:color w:val="auto"/>
              </w:rPr>
            </w:pPr>
            <w:r>
              <w:rPr>
                <w:rFonts w:ascii="Times New Roman" w:cs="Times New Roman" w:eastAsia="Times New Roman" w:hAnsi="Times New Roman"/>
                <w:sz w:val="18"/>
                <w:szCs w:val="18"/>
                <w:color w:val="auto"/>
                <w:w w:val="99"/>
              </w:rPr>
              <w:t>May 24,</w:t>
            </w:r>
          </w:p>
        </w:tc>
        <w:tc>
          <w:tcPr>
            <w:tcW w:w="1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December 15,</w:t>
            </w:r>
          </w:p>
        </w:tc>
        <w:tc>
          <w:tcPr>
            <w:tcW w:w="1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June 15,</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December 15,</w:t>
            </w:r>
          </w:p>
        </w:tc>
        <w:tc>
          <w:tcPr>
            <w:tcW w:w="1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15,</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earlier</w:t>
            </w:r>
          </w:p>
        </w:tc>
        <w:tc>
          <w:tcPr>
            <w:tcW w:w="156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w w:val="99"/>
              </w:rPr>
              <w:t>2034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2037</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2038</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common stock</w:t>
            </w:r>
          </w:p>
        </w:tc>
        <w:tc>
          <w:tcPr>
            <w:tcW w:w="156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9"/>
              </w:rPr>
              <w:t>$217</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$464</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$619</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$1,670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$928</w:t>
            </w: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rate, per annum</w:t>
            </w:r>
          </w:p>
        </w:tc>
        <w:tc>
          <w:tcPr>
            <w:tcW w:w="1560" w:type="dxa"/>
            <w:vAlign w:val="bottom"/>
            <w:vMerge w:val="restart"/>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w w:val="99"/>
              </w:rPr>
              <w:t>Three-Month</w:t>
            </w:r>
          </w:p>
        </w:tc>
        <w:tc>
          <w:tcPr>
            <w:tcW w:w="1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Three-Month</w:t>
            </w:r>
          </w:p>
        </w:tc>
        <w:tc>
          <w:tcPr>
            <w:tcW w:w="1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Three-Month</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Three-Month</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Three-Month</w:t>
            </w: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spacing w:after="0"/>
              <w:rPr>
                <w:sz w:val="15"/>
                <w:szCs w:val="15"/>
                <w:color w:val="auto"/>
              </w:rPr>
            </w:pPr>
          </w:p>
        </w:tc>
        <w:tc>
          <w:tcPr>
            <w:tcW w:w="1560" w:type="dxa"/>
            <w:vAlign w:val="bottom"/>
            <w:vMerge w:val="continue"/>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LIBOR plus</w:t>
            </w:r>
          </w:p>
        </w:tc>
        <w:tc>
          <w:tcPr>
            <w:tcW w:w="1620" w:type="dxa"/>
            <w:vAlign w:val="bottom"/>
            <w:vMerge w:val="continue"/>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15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color w:val="auto"/>
                <w:w w:val="99"/>
              </w:rPr>
              <w:t>LIBOR plus 4.0%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LIBOR plus 3.0%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LIBOR plus 3.1%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LIBOR plus 4.0%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junior subordinated debt is currently redeemable at 100.0% of the unpaid principal amount at our option.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junior subordinated debt contains certain covenants with which we are in compliance as of September 30, 2020.</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2020 and December 31, 2019, the ratio of total debt outstanding, including both senior debt and junior subordinated debt, to total capitalization (defined as total debt plus total stockholders’ equity) was 28.1% and 25.2%, respectively. Having debt as part of our capital structure allows us to generate a higher return on equity and greater book value per share results than we could by using equity capital alone.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Reinsurance</w:t>
      </w:r>
    </w:p>
    <w:p>
      <w:pPr>
        <w:spacing w:after="0" w:line="121"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September 30, 2020 and 2019, our net premium retention was 46.5% and 57.7%, respectively (49.7% and 61.3% for the nine month periods,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Excess and Surplus Lines segment’s net retention after reinsurance as of September 30,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56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4"/>
                <w:szCs w:val="14"/>
                <w:b w:val="1"/>
                <w:bCs w:val="1"/>
                <w:color w:val="auto"/>
              </w:rPr>
              <w:t>Company Retention</w:t>
            </w:r>
          </w:p>
        </w:tc>
        <w:tc>
          <w:tcPr>
            <w:tcW w:w="0" w:type="dxa"/>
            <w:vAlign w:val="bottom"/>
          </w:tcPr>
          <w:p>
            <w:pPr>
              <w:spacing w:after="0"/>
              <w:rPr>
                <w:sz w:val="1"/>
                <w:szCs w:val="1"/>
                <w:color w:val="auto"/>
              </w:rPr>
            </w:pPr>
          </w:p>
        </w:tc>
      </w:tr>
      <w:tr>
        <w:trPr>
          <w:trHeight w:val="22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Casualty</w:t>
            </w:r>
          </w:p>
        </w:tc>
        <w:tc>
          <w:tcPr>
            <w:tcW w:w="4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40" w:type="dxa"/>
            <w:vAlign w:val="bottom"/>
            <w:gridSpan w:val="2"/>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Primary Specialty Casualty, including Professional</w:t>
            </w:r>
          </w:p>
        </w:tc>
        <w:tc>
          <w:tcPr>
            <w:tcW w:w="6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Up to $1.0 million per occurrence, subject to a $1.0 million aggregate deductible. </w:t>
            </w:r>
            <w:r>
              <w:rPr>
                <w:rFonts w:ascii="Times New Roman" w:cs="Times New Roman" w:eastAsia="Times New Roman" w:hAnsi="Times New Roman"/>
                <w:sz w:val="14"/>
                <w:szCs w:val="14"/>
                <w:i w:val="1"/>
                <w:iCs w:val="1"/>
                <w:color w:val="auto"/>
              </w:rPr>
              <w:t>(1)</w:t>
            </w: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Liability</w:t>
            </w:r>
          </w:p>
        </w:tc>
        <w:tc>
          <w:tcPr>
            <w:tcW w:w="6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Primary Casualty</w:t>
            </w: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Up to $2.0 million per occurrence. </w:t>
            </w:r>
            <w:r>
              <w:rPr>
                <w:rFonts w:ascii="Times New Roman" w:cs="Times New Roman" w:eastAsia="Times New Roman" w:hAnsi="Times New Roman"/>
                <w:sz w:val="14"/>
                <w:szCs w:val="14"/>
                <w:i w:val="1"/>
                <w:iCs w:val="1"/>
                <w:color w:val="auto"/>
              </w:rPr>
              <w:t>(2)</w:t>
            </w: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Excess Casualty</w:t>
            </w: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Up to $1.0 million per occurrence. </w:t>
            </w:r>
            <w:r>
              <w:rPr>
                <w:rFonts w:ascii="Times New Roman" w:cs="Times New Roman" w:eastAsia="Times New Roman" w:hAnsi="Times New Roman"/>
                <w:sz w:val="14"/>
                <w:szCs w:val="14"/>
                <w:i w:val="1"/>
                <w:iCs w:val="1"/>
                <w:color w:val="auto"/>
              </w:rPr>
              <w:t>(3)</w:t>
            </w:r>
          </w:p>
        </w:tc>
        <w:tc>
          <w:tcPr>
            <w:tcW w:w="0" w:type="dxa"/>
            <w:vAlign w:val="bottom"/>
          </w:tcPr>
          <w:p>
            <w:pPr>
              <w:spacing w:after="0"/>
              <w:rPr>
                <w:sz w:val="1"/>
                <w:szCs w:val="1"/>
                <w:color w:val="auto"/>
              </w:rPr>
            </w:pPr>
          </w:p>
        </w:tc>
      </w:tr>
      <w:tr>
        <w:trPr>
          <w:trHeight w:val="234"/>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Up to $5.0 million per event. </w:t>
            </w:r>
            <w:r>
              <w:rPr>
                <w:rFonts w:ascii="Times New Roman" w:cs="Times New Roman" w:eastAsia="Times New Roman" w:hAnsi="Times New Roman"/>
                <w:sz w:val="14"/>
                <w:szCs w:val="14"/>
                <w:i w:val="1"/>
                <w:iCs w:val="1"/>
                <w:color w:val="auto"/>
              </w:rPr>
              <w:t>(4)</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Except for Life Sciences quota share carve out, which is up to $2.0 million per occurrence</w:t>
      </w:r>
    </w:p>
    <w:p>
      <w:pPr>
        <w:spacing w:after="0" w:line="6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exposure to any one claim is generally $1.0 million.</w:t>
      </w:r>
    </w:p>
    <w:p>
      <w:pPr>
        <w:spacing w:after="0" w:line="6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policies with an occurrence limit up to $10.0 million, the excess casualty treaty is set such that our retention is no more than $1.0 million.</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property catastrophe reinsurance treaty has a limit of $40.0 million with one reinstatement.</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upon the modeling of our Excess and Surplus Lines and Specialty Admitted segments, it would take an event beyond our 1 in 1000 year PML to exhaust our $45.0 million property catastrophe treaty. In the event of a catastrophe loss exhausting our $45.0 million property catastrophe treaty, we estimate our pre-tax cost at approximately $7.3 million, including reinstatement premiums and net retentions. In addition to this retention, we would retain any losses in excess of our reinsurance coverage limits.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Effective March 1, 2019, Rasier, our largest Commercial Auto account, was subject to an auto liability quota share reinsurance contract that contained a $10.0 million occurrence cap and an annual aggregate of 200% of subject premium. In conjunction with the termination of the Rasier account, effective December 31, 2019, we simultaneously canceled our quota share reinsurance contract that protected this portfolio.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Specialty Admitted Insurance segment’s ceded reinsurance in place as of September 30,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7420" w:type="dxa"/>
            <w:vAlign w:val="bottom"/>
          </w:tcPr>
          <w:p>
            <w:pPr>
              <w:ind w:left="3420"/>
              <w:spacing w:after="0"/>
              <w:rPr>
                <w:sz w:val="20"/>
                <w:szCs w:val="20"/>
                <w:color w:val="auto"/>
              </w:rPr>
            </w:pPr>
            <w:r>
              <w:rPr>
                <w:rFonts w:ascii="Times New Roman" w:cs="Times New Roman" w:eastAsia="Times New Roman" w:hAnsi="Times New Roman"/>
                <w:sz w:val="14"/>
                <w:szCs w:val="14"/>
                <w:b w:val="1"/>
                <w:bCs w:val="1"/>
                <w:color w:val="auto"/>
              </w:rPr>
              <w:t>Coverage</w:t>
            </w:r>
          </w:p>
        </w:tc>
      </w:tr>
      <w:tr>
        <w:trPr>
          <w:trHeight w:val="228"/>
        </w:trPr>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Casualty</w:t>
            </w:r>
          </w:p>
        </w:tc>
        <w:tc>
          <w:tcPr>
            <w:tcW w:w="420" w:type="dxa"/>
            <w:vAlign w:val="bottom"/>
          </w:tcPr>
          <w:p>
            <w:pPr>
              <w:spacing w:after="0"/>
              <w:rPr>
                <w:sz w:val="19"/>
                <w:szCs w:val="19"/>
                <w:color w:val="auto"/>
              </w:rPr>
            </w:pPr>
          </w:p>
        </w:tc>
        <w:tc>
          <w:tcPr>
            <w:tcW w:w="7420" w:type="dxa"/>
            <w:vAlign w:val="bottom"/>
            <w:tcBorders>
              <w:top w:val="single" w:sz="8" w:color="auto"/>
            </w:tcBorders>
          </w:tcPr>
          <w:p>
            <w:pPr>
              <w:spacing w:after="0"/>
              <w:rPr>
                <w:sz w:val="19"/>
                <w:szCs w:val="19"/>
                <w:color w:val="auto"/>
              </w:rPr>
            </w:pPr>
          </w:p>
        </w:tc>
      </w:tr>
      <w:tr>
        <w:trPr>
          <w:trHeight w:val="176"/>
        </w:trPr>
        <w:tc>
          <w:tcPr>
            <w:tcW w:w="37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Workers’ Compensation</w:t>
            </w:r>
          </w:p>
        </w:tc>
        <w:tc>
          <w:tcPr>
            <w:tcW w:w="7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Quota share coverage for 70% of the first $1.0 million.</w:t>
            </w:r>
            <w:r>
              <w:rPr>
                <w:rFonts w:ascii="Times New Roman" w:cs="Times New Roman" w:eastAsia="Times New Roman" w:hAnsi="Times New Roman"/>
                <w:sz w:val="20"/>
                <w:szCs w:val="20"/>
                <w:color w:val="auto"/>
                <w:vertAlign w:val="superscript"/>
              </w:rPr>
              <w:t>(1)(2)</w:t>
            </w:r>
          </w:p>
        </w:tc>
      </w:tr>
      <w:tr>
        <w:trPr>
          <w:trHeight w:val="229"/>
        </w:trPr>
        <w:tc>
          <w:tcPr>
            <w:tcW w:w="3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Excess of loss coverage for $29.0 million in excess of $1.0 million.</w:t>
            </w:r>
            <w:r>
              <w:rPr>
                <w:rFonts w:ascii="Times New Roman" w:cs="Times New Roman" w:eastAsia="Times New Roman" w:hAnsi="Times New Roman"/>
                <w:sz w:val="23"/>
                <w:szCs w:val="23"/>
                <w:color w:val="auto"/>
                <w:vertAlign w:val="superscript"/>
              </w:rPr>
              <w:t>(1)(2)</w:t>
            </w:r>
          </w:p>
        </w:tc>
      </w:tr>
      <w:tr>
        <w:trPr>
          <w:trHeight w:val="176"/>
        </w:trPr>
        <w:tc>
          <w:tcPr>
            <w:tcW w:w="37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Auto Programs</w:t>
            </w:r>
          </w:p>
        </w:tc>
        <w:tc>
          <w:tcPr>
            <w:tcW w:w="7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Quota share coverage for 75-90% of limits up to $1.5 million liability and $5.0 million physical</w:t>
            </w:r>
          </w:p>
        </w:tc>
      </w:tr>
      <w:tr>
        <w:trPr>
          <w:trHeight w:val="229"/>
        </w:trPr>
        <w:tc>
          <w:tcPr>
            <w:tcW w:w="3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damage per occurrence.</w:t>
            </w:r>
          </w:p>
        </w:tc>
      </w:tr>
      <w:tr>
        <w:trPr>
          <w:trHeight w:val="176"/>
        </w:trPr>
        <w:tc>
          <w:tcPr>
            <w:tcW w:w="378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General Liability &amp; Professional Liability –</w:t>
            </w:r>
          </w:p>
        </w:tc>
        <w:tc>
          <w:tcPr>
            <w:tcW w:w="7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Quota share coverage for 70% - 100% of limits up to $3.0 million per occurrence.</w:t>
            </w:r>
          </w:p>
        </w:tc>
      </w:tr>
      <w:tr>
        <w:trPr>
          <w:trHeight w:val="229"/>
        </w:trPr>
        <w:tc>
          <w:tcPr>
            <w:tcW w:w="3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Programs</w:t>
            </w:r>
          </w:p>
        </w:tc>
        <w:tc>
          <w:tcPr>
            <w:tcW w:w="7420" w:type="dxa"/>
            <w:vAlign w:val="bottom"/>
            <w:shd w:val="clear" w:color="auto" w:fill="CCEEFF"/>
          </w:tcPr>
          <w:p>
            <w:pPr>
              <w:spacing w:after="0"/>
              <w:rPr>
                <w:sz w:val="19"/>
                <w:szCs w:val="19"/>
                <w:color w:val="auto"/>
              </w:rPr>
            </w:pPr>
          </w:p>
        </w:tc>
      </w:tr>
      <w:tr>
        <w:trPr>
          <w:trHeight w:val="176"/>
        </w:trPr>
        <w:tc>
          <w:tcPr>
            <w:tcW w:w="378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Umbrella and Excess Casualty - Programs</w:t>
            </w:r>
          </w:p>
        </w:tc>
        <w:tc>
          <w:tcPr>
            <w:tcW w:w="7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Quota share coverage for 95%-100% of limits up to $10.0 million per occurrence, and excess of loss</w:t>
            </w:r>
          </w:p>
        </w:tc>
      </w:tr>
      <w:tr>
        <w:trPr>
          <w:trHeight w:val="229"/>
        </w:trPr>
        <w:tc>
          <w:tcPr>
            <w:tcW w:w="3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coverage for $5.0 million in excess of $10.0 million.</w:t>
            </w: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7420" w:type="dxa"/>
            <w:vAlign w:val="bottom"/>
            <w:shd w:val="clear" w:color="auto" w:fill="CCEEFF"/>
          </w:tcPr>
          <w:p>
            <w:pPr>
              <w:spacing w:after="0"/>
              <w:rPr>
                <w:sz w:val="19"/>
                <w:szCs w:val="19"/>
                <w:color w:val="auto"/>
              </w:rPr>
            </w:pPr>
          </w:p>
        </w:tc>
      </w:tr>
      <w:tr>
        <w:trPr>
          <w:trHeight w:val="230"/>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within Package - Programs</w:t>
            </w:r>
          </w:p>
        </w:tc>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Quota share coverage for 100% of limits up to $25.0 million per occurrence. </w:t>
            </w:r>
            <w:r>
              <w:rPr>
                <w:rFonts w:ascii="Times New Roman" w:cs="Times New Roman" w:eastAsia="Times New Roman" w:hAnsi="Times New Roman"/>
                <w:sz w:val="23"/>
                <w:szCs w:val="23"/>
                <w:color w:val="auto"/>
                <w:vertAlign w:val="superscript"/>
              </w:rPr>
              <w:t>(3)</w:t>
            </w:r>
          </w:p>
        </w:tc>
      </w:tr>
      <w:tr>
        <w:trPr>
          <w:trHeight w:val="229"/>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Catastrophe Coverage</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of Loss coverage for $44.0 million in excess of $1.0 million per occurrence.</w:t>
            </w:r>
          </w:p>
        </w:tc>
      </w:tr>
      <w:tr>
        <w:trPr>
          <w:trHeight w:val="211"/>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Aviation Programs</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Quota share coverage for 80% of limits up to $20 million liability and $2.5 million hull per</w:t>
            </w:r>
          </w:p>
        </w:tc>
      </w:tr>
      <w:tr>
        <w:trPr>
          <w:trHeight w:val="203"/>
        </w:trPr>
        <w:tc>
          <w:tcPr>
            <w:tcW w:w="3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occurrence, each aircraft; and excess of loss coverage for up to $7.3M excess of $200 thousand of our</w:t>
            </w:r>
          </w:p>
        </w:tc>
      </w:tr>
      <w:tr>
        <w:trPr>
          <w:trHeight w:val="234"/>
        </w:trPr>
        <w:tc>
          <w:tcPr>
            <w:tcW w:w="3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 share of the quota share each occurrence.</w:t>
            </w:r>
          </w:p>
        </w:tc>
      </w:tr>
    </w:tbl>
    <w:p>
      <w:pPr>
        <w:spacing w:after="0" w:line="74" w:lineRule="exact"/>
        <w:rPr>
          <w:sz w:val="20"/>
          <w:szCs w:val="20"/>
          <w:color w:val="auto"/>
        </w:rPr>
      </w:pPr>
    </w:p>
    <w:p>
      <w:pPr>
        <w:ind w:left="340" w:right="20" w:hanging="332"/>
        <w:spacing w:after="0" w:line="281" w:lineRule="auto"/>
        <w:tabs>
          <w:tab w:leader="none" w:pos="456"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Excluding one program which has quota share coverage for 81.25% of the first $1.0 million per occurrence and excess of loss coverage for $49.0 million in excess of $1.0 million per occurrence.</w:t>
      </w:r>
    </w:p>
    <w:p>
      <w:pPr>
        <w:spacing w:after="0" w:line="1" w:lineRule="exact"/>
        <w:rPr>
          <w:rFonts w:ascii="Times New Roman" w:cs="Times New Roman" w:eastAsia="Times New Roman" w:hAnsi="Times New Roman"/>
          <w:sz w:val="18"/>
          <w:szCs w:val="18"/>
          <w:i w:val="1"/>
          <w:iCs w:val="1"/>
          <w:color w:val="auto"/>
        </w:rPr>
      </w:pPr>
    </w:p>
    <w:p>
      <w:pPr>
        <w:ind w:left="400" w:hanging="392"/>
        <w:spacing w:after="0"/>
        <w:tabs>
          <w:tab w:leader="none" w:pos="40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any residual market pools.</w:t>
      </w:r>
    </w:p>
    <w:p>
      <w:pPr>
        <w:spacing w:after="0" w:line="117"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473"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Excluding one program which has a reinsurance coverage for up to 90% of the first $1,000,000 and excess of loss coverage for $39.0 million in excess of $1,000,000 per risk per occurrence.</w:t>
      </w:r>
    </w:p>
    <w:p>
      <w:pPr>
        <w:spacing w:after="0" w:line="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Specialty Admitted Insurance segment purchases reinsurance for at least 70%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our Casualty Reinsurance segment, we also have limited property catastrophe exposure, primarily through auto physical damage coverage. In the aggregate, we believe our pre-tax group-wide PML from a 1 in 1,000 year property catastrophe event would not exceed $10.0 million, inclusive of reinstatement premiums payable.</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a clash and contingency reinsurance treaty to cover both the Excess and Surplus Lines and Specialty Admitted Insurance segments in the event of a claims incident involving more than one of our insureds. The treaty covers $10.0 million in excess of a $2.0 million retention for loss occurrences within the treaty term. This coverage has two reinstatements in the event we exhaust any of the coverage. As of September 30, 2020, our average net retained limit per risk is $2.5 million.</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January 1, 2020, we purchased an additional $10.0 million in claims made coverage for excess policy limits and extra contractual obligations exposures above the clash and contingency treaty for the period 2014 to present. This treaty has one reinstatement.</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insurance segments remain liable to policyholders if its reinsurers are unable to meet their contractual obligations under applicable reinsurance agreements. We establish allowances for amounts considered uncollectible. At September 30, 2020, the allowance for such uncollectible reinsurance recoverables was $335,000.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customarily require a collateral trust arrangement to secure the obligations of the insurance entity for whom we are fronting.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2020, we had reinsurance recoverables on unpaid losses of $769.8 million and reinsurance recoverables on paid losses of $36.6 million, and all material recoverable amounts were from companies with A.M. Best ratings of “A-” or better or collateral had been posted by the reinsurer for our benefit.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Recoverable from an Indemnifying Party</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previously issued a set of insurance contracts to Rasier under which the Company pays losses and loss adjustment expenses on the contracts. The Company has indemnity agreements with Rasier (non-insurance entities) and is contractually entitled to receive reimbursement for a significant portion of the losses and loss adjustment expenses paid on behalf of Rasier and other expenses incurred by the Company. Rasier is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provided through a collateral trust arrangement established in favor of the Company by a captive insurance company affiliate of Rasier.</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permitted under our indemnification agreements with Rasier and the associated trust agreement, we have withdrawn the collateral posted to the trust account. At September 30, 2020, the Company held collateral funds of $940.2 million. The funds withdrawn from the trust account, currently invested in short term securities and included in restricted cash equivalents on the Company's consolidated balance sheet, will be used to reimburse the Company for the losses and loss adjustment expenses paid on behalf of Rasier and other related expenses incurred by the Company to the extent not paid as required under the indemnity agreements.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sources of funds consist primarily of premiums written, investment income, reinsurance recoveries, proceeds from sales and redemptions of investments, borrowings on our credit facilities, and the issuance of common shares. We use operating cash flows primarily to pay operating expenses, losses and loss adjustment expenses, reinsurance premiums, and income taxes. The following table summarizes our cash flows: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2"/>
        </w:trPr>
        <w:tc>
          <w:tcPr>
            <w:tcW w:w="8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40" w:type="dxa"/>
            <w:vAlign w:val="bottom"/>
          </w:tcPr>
          <w:p>
            <w:pPr>
              <w:spacing w:after="0"/>
              <w:rPr>
                <w:sz w:val="15"/>
                <w:szCs w:val="15"/>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equivalents (used in) provided by:</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(222,060)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213,787</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(87,904)</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(42,038)</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 equivalents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Cash used in operating activities for the nine months ended September 30, 2020 primarily reflects decreasing amounts of restricted cash equivalents as the collateral funds required on the terminated Rasier account declines as the outstanding claims on this business are settled (see </w:t>
      </w:r>
      <w:r>
        <w:rPr>
          <w:rFonts w:ascii="Times New Roman" w:cs="Times New Roman" w:eastAsia="Times New Roman" w:hAnsi="Times New Roman"/>
          <w:sz w:val="18"/>
          <w:szCs w:val="18"/>
          <w:i w:val="1"/>
          <w:iCs w:val="1"/>
          <w:color w:val="auto"/>
        </w:rPr>
        <w:t>Amounts Recoverable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 Indemnifying Party </w:t>
      </w:r>
      <w:r>
        <w:rPr>
          <w:rFonts w:ascii="Times New Roman" w:cs="Times New Roman" w:eastAsia="Times New Roman" w:hAnsi="Times New Roman"/>
          <w:sz w:val="18"/>
          <w:szCs w:val="18"/>
          <w:color w:val="auto"/>
        </w:rPr>
        <w:t>above). In the nine months ended September 30, 2020, the Company returned $258.9 million to its former insured, per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collateral trust. Excluding the reduction in the collateral funds, cash provided by operating activities was $36.9 million for the nine months ended September 30, 2020. Cash provided by operating activities for the nine months ended September 30, 2019 reflected growth in our U.S. segments and the collection of premiums receivable at a quicker rate than payments of loss and loss adjustment expenses.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reflects our efforts to enhance the yield in our investment portfolio by investing available cash and cash equivalents into higher yielding investments. Cash and cash equivalents (excluding restricted cash equivalents) comprised 6.1% and 12.3% of total cash and invested assets at September 30, 2020 and 2019, respectively.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September 30, 2020 and 2019 included $27.8 million and $27.5 million of dividends paid to shareholders, respectively. In addition, we drew a net $59.0 million on our senior credit facilities in the nine months ended September 30, 2020 as a precautionary measure to increase our cash position and preserve financial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flexibility in light of uncertainty in the global markets resulting from the coronavirus (COVID-19) outbreak. We repaid $20.0 million on our 2017 Facility in the nine months ended September 30,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Ratings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 Best financial strength rating for our group’s regulated insurance subsidiaries is “A” (Excellent). This rating reflects A.M. Best’s opinion of our insurance subsidiaries’ financial strength, operating performance and ability to meet obligations to policyholders and is not an evaluation directed towards the protection of investors. The rating for our operating insurance and reinsurance companies of “A” (Excellent) is the third highest rating of the thirteen ratings issued by A.M. Best and is assigned to insurers that have, in A.M. Best’s opinion, an excellent ability to meet their ongoing obligations to policyholders.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issued 185,762 common shares in the nine months ended September 30, 2020. The new shares were related to stock option exercises and vesting RSUs. The total common shares outstanding increased from 30,424,391 at December 31, 2019 to 30,610,153 at September 30, 2020.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Based Compensation Expense</w:t>
      </w:r>
    </w:p>
    <w:p>
      <w:pPr>
        <w:spacing w:after="0" w:line="12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2020 and 2019, the Company recognized $2.1 million and $1.8 million of share based compensation expense, respectively ($5.9 million and $5.3 million for the respective nine month periods). As of September 30, 2020, the Company had $10.7 million of unrecognized share based compensation expense expected to be charged to earnings over a weighted-average period of 1.8 years.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option activity: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8"/>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7"/>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3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643,851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1,115,324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(450,514)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564,236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652,752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end of period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564,236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599,241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outstanding options vest over three or four years and have a contractual life of seven years from the original date of grant.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activity: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9"/>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8"/>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3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beginning of period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340,368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300,142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(156,434)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(16,846)</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end of period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364,606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363,563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vesting period of RSUs granted to employees range from one to three years and vest ratably over the respective vesting period, and the majority vest in three years. All RSUs granted to date to non-employee directors had a one year vesting period.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Underwriting Profit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the underwriting profit (loss) by individual segment and for the entire Company to consolidated income (loss) before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income taxes: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3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5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profit (loss) of the insurance segments: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Casualty Reinsurance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underwriting profit (loss) of insurance segments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(22,641)</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(loss) </w:t>
            </w:r>
            <w:r>
              <w:rPr>
                <w:rFonts w:ascii="Times New Roman" w:cs="Times New Roman" w:eastAsia="Times New Roman" w:hAnsi="Times New Roman"/>
                <w:sz w:val="14"/>
                <w:szCs w:val="14"/>
                <w:color w:val="auto"/>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(23,383)</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54,844</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and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60" w:right="300" w:hanging="328"/>
        <w:spacing w:after="0" w:line="284" w:lineRule="auto"/>
        <w:tabs>
          <w:tab w:leader="none" w:pos="654"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Included in underwriting results for the three and nine months ended September 30, 2020 is gross fee income of $4.6 million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$15.8 million, respectively ($6.1 million and $18.7 million for the same periods in the prior year).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Net Operating Income (Loss)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define adjusted net operating income (loss) as net income (loss) excluding certain non-operating expenses such as net realized and unrealized investment gains and losses, expenses related to due diligence costs for various merger and acquisition activities, professional service fees related to the filing of registration statements for the offering of securities, and severance costs associated with terminated employees. We use adjusted net operating income (loss) as an internal performance measure in the management of our operations because we believe it gives our management and other users of our financial information useful insight into our results of operations and our underlying business performance. Adjusted net operating income (loss) should not be viewed as a substitute for net income (loss) calculated in accordance with GAAP, and our definition of adjusted net operating income (loss) may not be comparable to that of other companies.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income (loss) before taxes and net income (loss) reconcile to our adjusted net operating income (loss) as follows: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1"/>
                <w:szCs w:val="11"/>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240" w:type="dxa"/>
            <w:vAlign w:val="bottom"/>
          </w:tcPr>
          <w:p>
            <w:pPr>
              <w:spacing w:after="0"/>
              <w:rPr>
                <w:sz w:val="11"/>
                <w:szCs w:val="11"/>
                <w:color w:val="auto"/>
              </w:rPr>
            </w:pPr>
          </w:p>
        </w:tc>
        <w:tc>
          <w:tcPr>
            <w:tcW w:w="110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Before</w:t>
            </w:r>
          </w:p>
        </w:tc>
        <w:tc>
          <w:tcPr>
            <w:tcW w:w="2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83"/>
        </w:trPr>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as reported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operating income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1"/>
                <w:szCs w:val="11"/>
                <w:color w:val="auto"/>
              </w:rPr>
            </w:pPr>
          </w:p>
        </w:tc>
        <w:tc>
          <w:tcPr>
            <w:tcW w:w="11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Income</w:t>
            </w:r>
          </w:p>
        </w:tc>
        <w:tc>
          <w:tcPr>
            <w:tcW w:w="280" w:type="dxa"/>
            <w:vAlign w:val="bottom"/>
          </w:tcPr>
          <w:p>
            <w:pPr>
              <w:spacing w:after="0"/>
              <w:rPr>
                <w:sz w:val="11"/>
                <w:szCs w:val="11"/>
                <w:color w:val="auto"/>
              </w:rPr>
            </w:pPr>
          </w:p>
        </w:tc>
        <w:tc>
          <w:tcPr>
            <w:tcW w:w="10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Before</w:t>
            </w: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Before</w:t>
            </w:r>
          </w:p>
        </w:tc>
        <w:tc>
          <w:tcPr>
            <w:tcW w:w="2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83"/>
        </w:trPr>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as reported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operating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58,886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Equity (per Share) and Pre Dividend Tangible Equity (per Share)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Key financial measures that we use to assess our longer term financial performance include the percentage growth in our tangible equity per share and our return on tangible equity. We believe tangible equity is a good measure to evaluate the strength of our balance sheet and to compare returns relative to this measure. For the nine months ended September 30, 2020, our tangible equity per share increased by 7.1%. Absent the $27.8 million in dividends to shareholders in the nine months ended September 30, 2020, our tangible equity per share increased by 12.0% for the nine months ended September 30, 2020. The coronavirus pandemic in 2020 has led to declines in the fair values of our investments and reduced tangible equity through earnings with $6.9 million of net unrealized losses on equity securities and $7.6 million of net unrealized losses on bank loan participations for the nine months ended September 30, 2020 (as discussed in Investing Results). Our operating return on tangible shareholders’ equity was 11.9% for the nine months ended September 30, 2020.</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tangible equity as the sum of shareholders’ equity less goodwill and intangible assets (net of amortization). Our definition of tangible equity may not be comparable to that of other companies, and it should not be viewed as a substitute for shareholders’ equity calculated in accordance with GAAP. The following table reconciles shareholders’ equity to tangible equity as of September 30, 2020 and December 31, 2019 and reconciles tangible equity to pre-dividend tangible equity as of September 30, 2020:</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5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1"/>
                <w:szCs w:val="11"/>
                <w:color w:val="auto"/>
              </w:rPr>
            </w:pPr>
          </w:p>
        </w:tc>
        <w:tc>
          <w:tcPr>
            <w:tcW w:w="1100" w:type="dxa"/>
            <w:vAlign w:val="bottom"/>
          </w:tcPr>
          <w:p>
            <w:pPr>
              <w:jc w:val="right"/>
              <w:ind w:right="196"/>
              <w:spacing w:after="0" w:line="134" w:lineRule="exact"/>
              <w:rPr>
                <w:sz w:val="20"/>
                <w:szCs w:val="20"/>
                <w:color w:val="auto"/>
              </w:rPr>
            </w:pPr>
            <w:r>
              <w:rPr>
                <w:rFonts w:ascii="Times New Roman" w:cs="Times New Roman" w:eastAsia="Times New Roman" w:hAnsi="Times New Roman"/>
                <w:sz w:val="14"/>
                <w:szCs w:val="14"/>
                <w:b w:val="1"/>
                <w:bCs w:val="1"/>
                <w:color w:val="auto"/>
              </w:rPr>
              <w:t>Equity per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1"/>
                <w:szCs w:val="11"/>
                <w:color w:val="auto"/>
              </w:rPr>
            </w:pPr>
          </w:p>
        </w:tc>
        <w:tc>
          <w:tcPr>
            <w:tcW w:w="1040" w:type="dxa"/>
            <w:vAlign w:val="bottom"/>
          </w:tcPr>
          <w:p>
            <w:pPr>
              <w:jc w:val="right"/>
              <w:ind w:right="216"/>
              <w:spacing w:after="0" w:line="134" w:lineRule="exact"/>
              <w:rPr>
                <w:sz w:val="20"/>
                <w:szCs w:val="20"/>
                <w:color w:val="auto"/>
              </w:rPr>
            </w:pPr>
            <w:r>
              <w:rPr>
                <w:rFonts w:ascii="Times New Roman" w:cs="Times New Roman" w:eastAsia="Times New Roman" w:hAnsi="Times New Roman"/>
                <w:sz w:val="14"/>
                <w:szCs w:val="14"/>
                <w:b w:val="1"/>
                <w:bCs w:val="1"/>
                <w:color w:val="auto"/>
              </w:rPr>
              <w:t>Equity per</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83"/>
        </w:trPr>
        <w:tc>
          <w:tcPr>
            <w:tcW w:w="5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share amounts)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Tangible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Dividends to shareholders for the nine months ended September 30, 2020</w:t>
            </w: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27,815</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4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Pre-dividend tangible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Item 7A of our Annual Report on Form 10-K for the year ended December 31,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September 30, 2020,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September 30, 2020.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our quarter ended September 30, 2020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changes in our risk factors in the quarter ended September 30, 2020 from those disclosed in our Annual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 for the year ended December 31, 2019, except as follows:</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recent global coronavirus outbreak could harm business and results of operations of the Company.</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2019, a coronavirus (COVID-19) outbreak was reported in China, and, in March 2020, the World Health Organization declared it a pandemic. The coronavirus has spread throughout the United States, including states in which the Company operates. In response, many governments, including Bermuda, the state and local governments of the States of Virginia and North Carolina, and governments in many other states in which our policyholders are located, have instituted emergency restrictions that have substantially limited the operation of non-essential businesses and the activities of individuals. Many states have extended the expiration date of restrictions and some states that eased restrictions subsequently re-imposed them as the spread of COVID-19 worsened. These restrictions could result in significant adverse effects on our policyholders and many different types of small and mid-sized businesses within the Company’s client base, particularly those in the retail, hospitality and food and beverage industries, among many others. The ultimate effect and severity of COVID-19 on the economy is not known nor is the ultimate length of the restrictions and any accompanying effects caused by it.</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effect of COVID-19 and related events, including those described above and those not yet known or knowable, began to impact our results of operations in March 2020 and could have a negative effect on the stock price, business prospects, financial condition and results of operations of the Company, including as a result of quarantines, market volatility, market downturns, actions of lawmakers and regulators, changes in consumer behavior, business closures, deterioration in the credit quality of policyholders or the inability of policyholders to pay their premium and deductible obligations to the Company,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deterioration in the credit quality of reinsurers or insurance entities with which we have a fronting arrangement or the inability of reinsurers or the insurance entities for which we are fronting to pay their obligations to the Company.</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uncertainty around the extent of the economic impact of COVID-19 caused severe volatility in global financial markets since February 2020. As a result of this volatility, the Company experienced net realized and unrealized losses on investments in its senior secured bank loan portfolio and its equity portfolio in the first quarter. While the investment markets meaningfully recovered since March 31, 2020, further disruptions in global financial markets could result in additional net realized and unrealized investment losses, including potential impairments in our fixed income portfolio. Moreover, the Federal Reserve has taken action to lower the Federal Funds rate, which, along with other factors, has placed pressure on net investment income by causing the yields on many of the types of investments that we make to decline. For further discussion of risks related to our investment portfolio see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portfolio is subject to significant market and credit risks, which could result in a material adverse impact on our financial condition and results of operations</w:t>
      </w:r>
      <w:r>
        <w:rPr>
          <w:rFonts w:ascii="Times New Roman" w:cs="Times New Roman" w:eastAsia="Times New Roman" w:hAnsi="Times New Roman"/>
          <w:sz w:val="18"/>
          <w:szCs w:val="18"/>
          <w:color w:val="auto"/>
        </w:rPr>
        <w:t>” in “Part I-Item 1A-Risk Factors” in the Company’s Annual Report on Form 10-K for the year ended December 31, 2019.</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outbreak has resulted in authorities implementing numerous measures in an attempt to contain the virus, such as quarantines and shelter in place orders. These measures may remain in place for a significant period of time and, even if they are lifted, may be reinstated if conditions deteriorate. These measures and the uncertainty they create may adversely affect the business, operations and financial condition of our policyholders and business partners and therefore our business, operations and financial condition. The Company may be materially affected by a downturn in the economic well-being of policyholders and business partners and the economy in general in numerous ways, including without limitation as follows:</w:t>
      </w:r>
    </w:p>
    <w:p>
      <w:pPr>
        <w:spacing w:after="0" w:line="75"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of premiums, deductibles or self-insured retentions from our policyholders and reinsurance recoverables from our reinsurers may become increasingly difficult. We have incurred, and may continue to incur, increased estimated credit losses on premiums receivable.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portion of the Company’s premiums are calculated based on policyholder payroll costs or revenues, and therefore such premiums will decrease, perhaps materially so, to the extent that policyholders reduce staffing levels or suffer declines in revenue.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certain sectors of the economy may have an especially negative impact on the Company due to the concentration of premiums written in such sectors. For example, a material portion of the Company’s direct written premiums are related in various ways to construction. A decline in construction activity or employment would have a material adverse effect on the Company’s premium volume.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the insurance policies that the Company offers is highly dependent upon the business environment in the markets in which the Company operates. Suppressed demand for the Company’s insurance policies may lead to reduced premium rates on new or renewal policies or on reinsurance contracts and such reduced rates may not be appropriate for the risks we insure, which in turn may adversely affect the number of policies or contracts we can write.</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frequency and/or severity may increase in certain lines of business, such as, but not exclusively, workers’ compensation, and therefore we may incur increased losses and loss adjustment expenses.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reduction in premium volume would increase the Company’s expense ratio and, combined with an increase in losses and loss adjustment expenses, would negatively affect the ability of the Company to earn an underwriting profit. For a further discussion of these risks, see “</w:t>
      </w:r>
      <w:r>
        <w:rPr>
          <w:rFonts w:ascii="Times New Roman" w:cs="Times New Roman" w:eastAsia="Times New Roman" w:hAnsi="Times New Roman"/>
          <w:sz w:val="18"/>
          <w:szCs w:val="18"/>
          <w:i w:val="1"/>
          <w:iCs w:val="1"/>
          <w:color w:val="auto"/>
        </w:rPr>
        <w:t>Adverse economic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including recession, inflation, periods of high unemployment or lower economic activity could result in the sale of fewer policies than expected or an increase in frequency or severity in claims and premium defaults or both, which, in turn, could affect our growth and profitability</w:t>
      </w:r>
      <w:r>
        <w:rPr>
          <w:rFonts w:ascii="Times New Roman" w:cs="Times New Roman" w:eastAsia="Times New Roman" w:hAnsi="Times New Roman"/>
          <w:sz w:val="18"/>
          <w:szCs w:val="18"/>
          <w:color w:val="auto"/>
        </w:rPr>
        <w:t>” in “Part I-Item 1A-Risk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in the Company’s Annual Report on Form 10-K for the year ended December 31, 2019.</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Efforts of lawmakers at the federal and state level to address the effects of COVID-19 on businesses may have an adverse effect on the financial condition and results of operations of the Company. At the federal and state level, there have been proposals by lawmakers to retroactively amend business interruption insurance policies to cover claims related to COVID-19 when such insurance policies otherwise would exclude such risks. In addition, a number of states have instituted, and other states are considering instituting, changes designed to effectively expand workers’ compensation coverage by creating presumptions of compensability of claims for certain types of workers. The Company has received both business interruption and workers' compensation claims related to COVID-19, and we expect that we will continue to receive claims related to COVID-19. If the efforts of lawmakers to effectively expand coverage under business interruption, workers' compensation and other policies on a retroactive basis are successful and enforceable, the Company may be forced to pay claims under policies for which it received inadequate premiums to cover such risks, and therefore the Company’s reserves may be inadequate to pay such claims. At the state level, insurance departments throughout the country have issued bulletins and regulations urging or requiring insurers to extend grace periods for the payment of policy premiums and to refrain from canceling or non-renewing policies for the non-payment of policy premiums for policyholders adversely affected by COVID-19. While many of these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requirements and recommendations have expired or are scheduled to expire in the near future, insurance departments could reinstate or extend them as conditions deteriorate and/or the negative impact of the pandemic on policyholders persists. It is uncertain what impact these government mandates may have on our ability to recover unpaid premiums on the affected policies or what our obligations may be for the payment of claims made under policies for which we have not received premium payments. Some state regulators have issued orders requiring insurers to issue premium refunds or credits, and regulators in other states could take similar action. It is not yet clear the extent of impact on the Company these new regulations will have or what other actions may be taken by government bodies, both legislative and regulatory, in reaction to COVID-19. For further discussion on risks related to emerging claim and coverage issues see “</w:t>
      </w:r>
      <w:r>
        <w:rPr>
          <w:rFonts w:ascii="Times New Roman" w:cs="Times New Roman" w:eastAsia="Times New Roman" w:hAnsi="Times New Roman"/>
          <w:sz w:val="18"/>
          <w:szCs w:val="18"/>
          <w:i w:val="1"/>
          <w:iCs w:val="1"/>
          <w:color w:val="auto"/>
        </w:rPr>
        <w:t>The effect of emerging claim and coverage issues on our business is uncertain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If we are unable to underwrite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accurately and charge competitive yet profitable rates to our policyholders, our business, financial condition and results of operations will be materially adversely affected</w:t>
      </w:r>
      <w:r>
        <w:rPr>
          <w:rFonts w:ascii="Times New Roman" w:cs="Times New Roman" w:eastAsia="Times New Roman" w:hAnsi="Times New Roman"/>
          <w:sz w:val="18"/>
          <w:szCs w:val="18"/>
          <w:color w:val="auto"/>
        </w:rPr>
        <w:t>” in “Part I-Item 1A-Risk Factors” in the Company’s Annual Report on Form 10-K for the year ended December 31, 2019.</w:t>
      </w:r>
    </w:p>
    <w:p>
      <w:pPr>
        <w:spacing w:after="0" w:line="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spread of the virus has caused us to modify our business practices (including employee work locations and cancellation of physical participation in meetings) in ways that might become detrimental to the operation of our business (including working remotely and its attendant cybersecurity risks). We may take further actions as may be required by government authorities or that we determine are in the best interests of our employees and policyholders. There is no certainty that such measures will be sufficient to mitigate the risks posed by the virus or otherwise be satisfactory to government authorities. A return to work in the office environment could result in an outbreak of COVID-19 illness affecting a large number of the Company's employees and/or require a large number of employees to self-quarantine. Our operations could be disrupted if key members of our senior management or a significant percentage of our workforce or the workforce of our agents, brokers or service providers are unable to continue to work because of illness from COVID-19, government directives, loss of childcare or eldercare resulting from the closure of schools and/or child or senior care facilities, or otherwise. For a further discussion of these risks, see “</w:t>
      </w:r>
      <w:r>
        <w:rPr>
          <w:rFonts w:ascii="Times New Roman" w:cs="Times New Roman" w:eastAsia="Times New Roman" w:hAnsi="Times New Roman"/>
          <w:sz w:val="18"/>
          <w:szCs w:val="18"/>
          <w:i w:val="1"/>
          <w:iCs w:val="1"/>
          <w:color w:val="auto"/>
        </w:rPr>
        <w:t>We rely on our systems and employees, and those of certain third-party vendors and service providers in conducting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and certain failures, including internal or external fraud, operational errors, systems malfunctions, or cybersecurity incidents, could materially adversely affect our operations</w:t>
      </w:r>
      <w:r>
        <w:rPr>
          <w:rFonts w:ascii="Times New Roman" w:cs="Times New Roman" w:eastAsia="Times New Roman" w:hAnsi="Times New Roman"/>
          <w:sz w:val="18"/>
          <w:szCs w:val="18"/>
          <w:color w:val="auto"/>
        </w:rPr>
        <w:t>” in “Part I-Item 1A-Risk Factors” in the Company’s Annual Report on Form 10-K for the year ended December 31, 2019.</w:t>
      </w:r>
    </w:p>
    <w:p>
      <w:pPr>
        <w:spacing w:after="0" w:line="84" w:lineRule="exact"/>
        <w:rPr>
          <w:sz w:val="20"/>
          <w:szCs w:val="20"/>
          <w:color w:val="auto"/>
        </w:rPr>
      </w:pPr>
    </w:p>
    <w:p>
      <w:pPr>
        <w:jc w:val="both"/>
        <w:ind w:firstLine="508"/>
        <w:spacing w:after="0" w:line="258" w:lineRule="auto"/>
        <w:rPr>
          <w:sz w:val="20"/>
          <w:szCs w:val="20"/>
          <w:color w:val="auto"/>
        </w:rPr>
      </w:pPr>
      <w:r>
        <w:rPr>
          <w:rFonts w:ascii="Times New Roman" w:cs="Times New Roman" w:eastAsia="Times New Roman" w:hAnsi="Times New Roman"/>
          <w:sz w:val="18"/>
          <w:szCs w:val="18"/>
          <w:color w:val="auto"/>
        </w:rPr>
        <w:t>Given the ongoing and dynamic nature of the circumstances, it is not possible to predict the ultimate impact of the coronavirus outbreak on the stock price, business prospects, financial condition or results of operations of the Company. Notwithstanding any actions by national, state and local governments to mitigate the impact of COVID-19 or by the Company to address the adverse impacts of COVID-19, there can be no assurance that any of the foregoing activities will be successful in mitigating or preventing significant adverse effects on the Company. The Company may also incur additional costs to remedy damages caused by such disruptions, which could adversely affect its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2001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3.5</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62877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287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162877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24765</wp:posOffset>
            </wp:positionV>
            <wp:extent cx="54775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77510" cy="8255"/>
                    </a:xfrm>
                    <a:prstGeom prst="rect">
                      <a:avLst/>
                    </a:prstGeom>
                    <a:noFill/>
                  </pic:spPr>
                </pic:pic>
              </a:graphicData>
            </a:graphic>
          </wp:anchor>
        </w:drawing>
      </w:r>
    </w:p>
    <w:p>
      <w:pPr>
        <w:spacing w:after="0" w:line="28"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Certificate of Incorporation of James River Group Holdings, Ltd. (incorporated by reference to Exhibit 3.1 of the</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Registration Statement on Form S-1, Registration No. 333-199958, filed with the Commission on November 7, 2014)</w:t>
        </w:r>
      </w:hyperlink>
    </w:p>
    <w:p>
      <w:pPr>
        <w:spacing w:after="0" w:line="50"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Certificate of Incorporation on Change of Name (incorporated by reference to Exhibit 3.2 of the Registration</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Statement on Form S-1, Registration No. 333-199958, filed with the Commission on November 7, 2014)</w:t>
        </w:r>
      </w:hyperlink>
    </w:p>
    <w:p>
      <w:pPr>
        <w:spacing w:after="0" w:line="50"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Memorandum of Association of James River Group Holdings, Ltd. (incorporated by reference to Exhibit 3.3 of the</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Registration Statement on Form S-1, Registration No. 333-199958, filed with the Commission on November 7, 2014)</w:t>
        </w:r>
      </w:hyperlink>
    </w:p>
    <w:p>
      <w:pPr>
        <w:spacing w:after="0" w:line="50"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Certificate of Deposit of Memorandum of Increase of Share Capital, dated December 24, 2007 (incorporated by</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reference to Exhibit 3.4 of the Registration Statement on Form S-1, Registration No. 333-199958, filed with the</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Commission on November 7, 2014)</w:t>
        </w:r>
      </w:hyperlink>
    </w:p>
    <w:p>
      <w:pPr>
        <w:spacing w:after="0" w:line="50"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Certificate of Deposit of Memorandum of Increase of Share Capital, dated October 7, 2009 (incorporated by reference</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to Exhibit 3.5 of the Registration Statement on Form S-1, Registration No. 333-199958, filed with the Commission on</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November 7, 2014)</w:t>
        </w:r>
      </w:hyperlink>
    </w:p>
    <w:p>
      <w:pPr>
        <w:spacing w:after="0" w:line="50" w:lineRule="exact"/>
        <w:rPr>
          <w:rFonts w:ascii="Times New Roman" w:cs="Times New Roman" w:eastAsia="Times New Roman" w:hAnsi="Times New Roman"/>
          <w:sz w:val="18"/>
          <w:szCs w:val="18"/>
          <w:u w:val="single" w:color="auto"/>
          <w:color w:val="0000FF"/>
        </w:rPr>
      </w:pPr>
    </w:p>
    <w:p>
      <w:pPr>
        <w:jc w:val="both"/>
        <w:spacing w:after="0" w:line="237" w:lineRule="auto"/>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Third Amended and Restated Bye-Laws of James River Group Holdings, Ltd. (incorporated by reference to Exhibit</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3.6 to the Annual Report on Form 10-K filed on March 12, 2015, Commission File No. 001-36777)</w:t>
        </w:r>
      </w:hyperlink>
    </w:p>
    <w:p>
      <w:pPr>
        <w:spacing w:after="0" w:line="9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Chief Executive Officer Certification pursuant to Rule 13a-14(a)/15d-14(a)</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Chief Financial Officer Certification pursuant to Rule 13a-14(a)/15d-14(a)</w:t>
        </w:r>
      </w:hyperlink>
    </w:p>
    <w:p>
      <w:pPr>
        <w:spacing w:after="0" w:line="77"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Chief Executive Officer and Chief Financial Officer Certification pursuant to 18 U.S.C. Section 1350, as adopted</w:t>
        </w:r>
      </w:hyperlink>
      <w:r>
        <w:rPr>
          <w:rFonts w:ascii="Times New Roman" w:cs="Times New Roman" w:eastAsia="Times New Roman" w:hAnsi="Times New Roman"/>
          <w:sz w:val="18"/>
          <w:szCs w:val="18"/>
          <w:u w:val="single" w:color="auto"/>
          <w:color w:val="0000FF"/>
        </w:rPr>
        <w:t xml:space="preserve"> </w:t>
      </w:r>
      <w:hyperlink w:anchor="page61">
        <w:r>
          <w:rPr>
            <w:rFonts w:ascii="Times New Roman" w:cs="Times New Roman" w:eastAsia="Times New Roman" w:hAnsi="Times New Roman"/>
            <w:sz w:val="18"/>
            <w:szCs w:val="18"/>
            <w:u w:val="single" w:color="auto"/>
            <w:color w:val="0000FF"/>
          </w:rPr>
          <w:t>pursuant to Section 906 of the Sarbanes-Oxley Act of 2002</w:t>
        </w:r>
      </w:hyperlink>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77" w:lineRule="exact"/>
        <w:rPr>
          <w:sz w:val="20"/>
          <w:szCs w:val="20"/>
          <w:color w:val="auto"/>
        </w:rPr>
      </w:pPr>
    </w:p>
    <w:p>
      <w:pPr>
        <w:ind w:right="3640"/>
        <w:spacing w:after="0" w:line="348" w:lineRule="auto"/>
        <w:rPr>
          <w:sz w:val="20"/>
          <w:szCs w:val="20"/>
          <w:color w:val="auto"/>
        </w:rPr>
      </w:pPr>
      <w:r>
        <w:rPr>
          <w:rFonts w:ascii="Times New Roman" w:cs="Times New Roman" w:eastAsia="Times New Roman" w:hAnsi="Times New Roman"/>
          <w:sz w:val="17"/>
          <w:szCs w:val="17"/>
          <w:color w:val="auto"/>
        </w:rPr>
        <w:t>Inline XBRL Taxonomy Extension Calculation Linkbase Document Inline XBRL Taxonomy Extension Definition Linkbase Document Inline XBRL Taxonomy Extension Label Linkbase Document Inline XBRL Taxonomy Extension Presentation Linkbase Document</w:t>
      </w:r>
    </w:p>
    <w:p>
      <w:pPr>
        <w:spacing w:after="0" w:line="237" w:lineRule="auto"/>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880" w:space="720"/>
            <w:col w:w="8580"/>
          </w:cols>
          <w:pgMar w:left="320" w:top="121" w:right="39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65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James River Group Holdings, Ltd.</w:t>
            </w:r>
          </w:p>
        </w:tc>
      </w:tr>
      <w:tr>
        <w:trPr>
          <w:trHeight w:val="45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October 29, 2020</w:t>
            </w:r>
          </w:p>
        </w:tc>
        <w:tc>
          <w:tcPr>
            <w:tcW w:w="23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 Adam Abram</w:t>
            </w:r>
          </w:p>
        </w:tc>
      </w:tr>
      <w:tr>
        <w:trPr>
          <w:trHeight w:val="218"/>
        </w:trPr>
        <w:tc>
          <w:tcPr>
            <w:tcW w:w="5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 Adam Abram</w:t>
            </w:r>
          </w:p>
        </w:tc>
      </w:tr>
      <w:tr>
        <w:trPr>
          <w:trHeight w:val="180"/>
        </w:trPr>
        <w:tc>
          <w:tcPr>
            <w:tcW w:w="5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w:t>
            </w:r>
          </w:p>
        </w:tc>
      </w:tr>
      <w:tr>
        <w:trPr>
          <w:trHeight w:val="225"/>
        </w:trPr>
        <w:tc>
          <w:tcPr>
            <w:tcW w:w="5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5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October 29, 2020</w:t>
            </w:r>
          </w:p>
        </w:tc>
        <w:tc>
          <w:tcPr>
            <w:tcW w:w="23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C. Doran</w:t>
            </w:r>
          </w:p>
        </w:tc>
      </w:tr>
      <w:tr>
        <w:trPr>
          <w:trHeight w:val="218"/>
        </w:trPr>
        <w:tc>
          <w:tcPr>
            <w:tcW w:w="5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C. Doran</w:t>
            </w:r>
          </w:p>
        </w:tc>
      </w:tr>
      <w:tr>
        <w:trPr>
          <w:trHeight w:val="229"/>
        </w:trPr>
        <w:tc>
          <w:tcPr>
            <w:tcW w:w="5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280"/>
          </w:cols>
          <w:pgMar w:left="320" w:top="121" w:right="12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Adam Abram, certify that:</w:t>
      </w:r>
    </w:p>
    <w:p>
      <w:pPr>
        <w:spacing w:after="0" w:line="11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James River Group Holdings, Ltd.;</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2020</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 Adam Abram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 Adam Abram</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C. Doran, certify that:</w:t>
      </w:r>
    </w:p>
    <w:p>
      <w:pPr>
        <w:spacing w:after="0" w:line="11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James River Group Holdings, Ltd.;</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2020</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0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Sarah C. Doran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James River Group Holdings, Ltd. (the “Company”) on Form 10-Q for the period ended September 30, 2020 as filed with the Securities and Exchange Commission on the date hereof (the “Report”), we, J. Adam Abram, Chief Executive Officer and Chairman of the Company, and Sarah C. Doran, Chief Financial Officer of the Company, certify, to the best of our knowledge, pursuant to 18 U.S.C. §1350, as adopted pursuant to §906 of the Sarbanes-Oxley Act of 2002, that:</w:t>
      </w:r>
    </w:p>
    <w:p>
      <w:pPr>
        <w:spacing w:after="0" w:line="72" w:lineRule="exact"/>
        <w:rPr>
          <w:sz w:val="20"/>
          <w:szCs w:val="20"/>
          <w:color w:val="auto"/>
        </w:rPr>
      </w:pPr>
    </w:p>
    <w:p>
      <w:pPr>
        <w:ind w:left="640" w:hanging="63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 Adam Abram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 Adam Abram</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October 29, 2020</w:t>
      </w:r>
    </w:p>
    <w:p>
      <w:pPr>
        <w:spacing w:after="0" w:line="24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Sarah C. Doran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October 29, 2020</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2"/>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1)"/>
      <w:numFmt w:val="lowerLetter"/>
      <w:start w:val="2"/>
    </w:lvl>
  </w:abstractNum>
  <w:abstractNum w:abstractNumId="12">
    <w:nsid w:val="333AB105"/>
    <w:multiLevelType w:val="hybridMultilevel"/>
    <w:lvl w:ilvl="0">
      <w:lvlJc w:val="left"/>
      <w:lvlText w:val="%1."/>
      <w:numFmt w:val="decimal"/>
      <w:start w:val="6"/>
    </w:lvl>
  </w:abstractNum>
  <w:abstractNum w:abstractNumId="13">
    <w:nsid w:val="721DA317"/>
    <w:multiLevelType w:val="hybridMultilevel"/>
    <w:lvl w:ilvl="0">
      <w:lvlJc w:val="left"/>
      <w:lvlText w:val="%1."/>
      <w:numFmt w:val="decimal"/>
      <w:start w:val="7"/>
    </w:lvl>
  </w:abstractNum>
  <w:abstractNum w:abstractNumId="14">
    <w:nsid w:val="2443A858"/>
    <w:multiLevelType w:val="hybridMultilevel"/>
    <w:lvl w:ilvl="0">
      <w:lvlJc w:val="left"/>
      <w:lvlText w:val="%1."/>
      <w:numFmt w:val="decimal"/>
      <w:start w:val="1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77" Type="http://schemas.openxmlformats.org/officeDocument/2006/relationships/hyperlink" Target="http://www.sec.gov/Archives/edgar/data/1620459/000157104914005924/t1401933_ex3-1.htm" TargetMode="External"/><Relationship Id="rId78" Type="http://schemas.openxmlformats.org/officeDocument/2006/relationships/hyperlink" Target="http://www.sec.gov/Archives/edgar/data/1620459/000157104914005924/t1401933_ex3-2.htm" TargetMode="External"/><Relationship Id="rId79" Type="http://schemas.openxmlformats.org/officeDocument/2006/relationships/hyperlink" Target="http://www.sec.gov/Archives/edgar/data/1620459/000157104914005924/t1401933_ex3-3.htm" TargetMode="External"/><Relationship Id="rId80" Type="http://schemas.openxmlformats.org/officeDocument/2006/relationships/hyperlink" Target="http://www.sec.gov/Archives/edgar/data/1620459/000157104914005924/t1401933_ex3-4.htm" TargetMode="External"/><Relationship Id="rId81" Type="http://schemas.openxmlformats.org/officeDocument/2006/relationships/hyperlink" Target="http://www.sec.gov/Archives/edgar/data/1620459/000157104914005924/t1401933_ex3-5.htm" TargetMode="External"/><Relationship Id="rId82" Type="http://schemas.openxmlformats.org/officeDocument/2006/relationships/hyperlink" Target="http://www.sec.gov/Archives/edgar/data/1620459/000157104915001874/t1500493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2020-10-29T15:31:43Z</dcterms:created>
  <dcterms:modified xsi:type="dcterms:W3CDTF">2020-10-29T15:31:43Z</dcterms:modified>
</cp:coreProperties>
</file>