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1" w:lineRule="exact"/>
        <w:rPr>
          <w:sz w:val="24"/>
          <w:szCs w:val="24"/>
          <w:color w:val="auto"/>
        </w:rPr>
      </w:pPr>
    </w:p>
    <w:p>
      <w:pPr>
        <w:ind w:left="740" w:right="380" w:hanging="716"/>
        <w:spacing w:after="0" w:line="289" w:lineRule="auto"/>
        <w:tabs>
          <w:tab w:leader="none" w:pos="7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 for the quarterly period ended September 30, 2025</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740" w:right="320" w:hanging="716"/>
        <w:spacing w:after="0" w:line="289" w:lineRule="auto"/>
        <w:tabs>
          <w:tab w:leader="none" w:pos="7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 for the transition period from _______ to 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5"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190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39"/>
        </w:trPr>
        <w:tc>
          <w:tcPr>
            <w:tcW w:w="1900" w:type="dxa"/>
            <w:vAlign w:val="bottom"/>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5520" w:type="dxa"/>
            <w:vAlign w:val="bottom"/>
          </w:tcPr>
          <w:p>
            <w:pPr>
              <w:jc w:val="center"/>
              <w:ind w:left="4281"/>
              <w:spacing w:after="0"/>
              <w:rPr>
                <w:sz w:val="20"/>
                <w:szCs w:val="20"/>
                <w:color w:val="auto"/>
              </w:rPr>
            </w:pPr>
            <w:r>
              <w:rPr>
                <w:rFonts w:ascii="Times New Roman" w:cs="Times New Roman" w:eastAsia="Times New Roman" w:hAnsi="Times New Roman"/>
                <w:sz w:val="18"/>
                <w:szCs w:val="18"/>
                <w:b w:val="1"/>
                <w:bCs w:val="1"/>
                <w:color w:val="auto"/>
                <w:w w:val="96"/>
              </w:rPr>
              <w:t>98-0585280</w:t>
            </w:r>
          </w:p>
        </w:tc>
      </w:tr>
      <w:tr>
        <w:trPr>
          <w:trHeight w:val="144"/>
        </w:trPr>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520" w:type="dxa"/>
            <w:vAlign w:val="bottom"/>
          </w:tcPr>
          <w:p>
            <w:pPr>
              <w:jc w:val="center"/>
              <w:ind w:left="4301"/>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520" w:type="dxa"/>
            <w:vAlign w:val="bottom"/>
          </w:tcPr>
          <w:p>
            <w:pPr>
              <w:jc w:val="center"/>
              <w:ind w:left="4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Clarendon House, 2 Church Street, Hamilton, Pembroke HM11, Bermuda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(441) 295-1422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1"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Names of each exchange on which registered</w:t>
            </w:r>
          </w:p>
        </w:tc>
      </w:tr>
      <w:tr>
        <w:trPr>
          <w:trHeight w:val="286"/>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Common Shares, par value $0.0002 per share</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JRVR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6"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84" w:lineRule="exact"/>
        <w:tabs>
          <w:tab w:leader="none" w:pos="1920" w:val="left"/>
          <w:tab w:leader="none" w:pos="3660" w:val="left"/>
          <w:tab w:leader="none" w:pos="5720" w:val="left"/>
          <w:tab w:leader="none" w:pos="8340" w:val="left"/>
          <w:tab w:leader="none" w:pos="11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Accelerated filer</w:t>
      </w:r>
      <w:r>
        <w:rPr>
          <w:sz w:val="20"/>
          <w:szCs w:val="20"/>
          <w:color w:val="auto"/>
        </w:rPr>
        <w:tab/>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shares outstanding at November 3, 2025: 45,965,839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439420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360" w:type="dxa"/>
            <w:vAlign w:val="bottom"/>
            <w:gridSpan w:val="2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Balance Sheets—September 30, 2025 and December 31, 2024</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Income (Loss) and Comprehensive Income (Loss)—Three and Nine Months Ended</w:t>
            </w:r>
          </w:p>
        </w:tc>
        <w:tc>
          <w:tcPr>
            <w:tcW w:w="540" w:type="dxa"/>
            <w:vAlign w:val="bottom"/>
            <w:tcBorders>
              <w:right w:val="single" w:sz="8" w:color="CCEEFF"/>
            </w:tcBorders>
            <w:gridSpan w:val="3"/>
            <w:vMerge w:val="restart"/>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120" w:type="dxa"/>
            <w:vAlign w:val="bottom"/>
            <w:tcBorders>
              <w:top w:val="single" w:sz="8" w:color="0000FF"/>
              <w:bottom w:val="single" w:sz="8" w:color="0000FF"/>
            </w:tcBorders>
            <w:gridSpan w:val="9"/>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0000FF"/>
              </w:rPr>
              <w:t>September 30, 2025 and 2024</w:t>
            </w: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20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080" w:type="dxa"/>
            <w:vAlign w:val="bottom"/>
            <w:tcBorders>
              <w:top w:val="single" w:sz="8" w:color="0000FF"/>
              <w:bottom w:val="single" w:sz="8" w:color="CCEEFF"/>
            </w:tcBorders>
            <w:shd w:val="clear" w:color="auto" w:fill="CCEEFF"/>
          </w:tcPr>
          <w:p>
            <w:pPr>
              <w:spacing w:after="0"/>
              <w:rPr>
                <w:sz w:val="16"/>
                <w:szCs w:val="16"/>
                <w:color w:val="auto"/>
              </w:rPr>
            </w:pPr>
          </w:p>
        </w:tc>
        <w:tc>
          <w:tcPr>
            <w:tcW w:w="132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Equity—Three and Nine Months Ended September 30, 2025 and</w:t>
            </w:r>
          </w:p>
        </w:tc>
        <w:tc>
          <w:tcPr>
            <w:tcW w:w="540" w:type="dxa"/>
            <w:vAlign w:val="bottom"/>
            <w:tcBorders>
              <w:right w:val="single" w:sz="8" w:color="CCEEFF"/>
            </w:tcBorders>
            <w:gridSpan w:val="3"/>
            <w:vMerge w:val="restart"/>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0000FF"/>
              </w:rPr>
              <w:t>2024</w:t>
            </w: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left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19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080" w:type="dxa"/>
            <w:vAlign w:val="bottom"/>
            <w:tcBorders>
              <w:top w:val="single" w:sz="8" w:color="0000FF"/>
              <w:bottom w:val="single" w:sz="8" w:color="CCEEFF"/>
            </w:tcBorders>
            <w:shd w:val="clear" w:color="auto" w:fill="CCEEFF"/>
          </w:tcPr>
          <w:p>
            <w:pPr>
              <w:spacing w:after="0"/>
              <w:rPr>
                <w:sz w:val="16"/>
                <w:szCs w:val="16"/>
                <w:color w:val="auto"/>
              </w:rPr>
            </w:pPr>
          </w:p>
        </w:tc>
        <w:tc>
          <w:tcPr>
            <w:tcW w:w="132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Cash Flows—Nine Months Ended September 30, 2025 and 2024</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2.</w:t>
            </w: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60" w:type="dxa"/>
            <w:vAlign w:val="bottom"/>
            <w:gridSpan w:val="2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gridSpan w:val="2"/>
          </w:tcPr>
          <w:p>
            <w:pPr>
              <w:spacing w:after="0"/>
              <w:rPr>
                <w:sz w:val="16"/>
                <w:szCs w:val="16"/>
                <w:color w:val="auto"/>
              </w:rPr>
            </w:pPr>
          </w:p>
        </w:tc>
        <w:tc>
          <w:tcPr>
            <w:tcW w:w="944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3"/>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shd w:val="clear" w:color="auto" w:fill="CCEEFF"/>
          </w:tcPr>
          <w:p>
            <w:pPr>
              <w:spacing w:after="0"/>
              <w:rPr>
                <w:sz w:val="16"/>
                <w:szCs w:val="16"/>
                <w:color w:val="auto"/>
              </w:rPr>
            </w:pPr>
          </w:p>
        </w:tc>
        <w:tc>
          <w:tcPr>
            <w:tcW w:w="9440" w:type="dxa"/>
            <w:vAlign w:val="bottom"/>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gridSpan w:val="3"/>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Item 5.</w:t>
            </w:r>
          </w:p>
        </w:tc>
        <w:tc>
          <w:tcPr>
            <w:tcW w:w="944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gridSpan w:val="3"/>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6.</w:t>
            </w:r>
          </w:p>
        </w:tc>
        <w:tc>
          <w:tcPr>
            <w:tcW w:w="9440" w:type="dxa"/>
            <w:vAlign w:val="bottom"/>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163" w:lineRule="exact"/>
        <w:rPr>
          <w:sz w:val="20"/>
          <w:szCs w:val="20"/>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estimate used to compute loss and loss adjustment expense reserves;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the financial strength rating or outlook of our regulated insurance subsidiaries impacting our competitive position and ability to attract and retain insurance business that our subsidiaries write and ultimately our financial condition;</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litigation in connection with the sale of our casualty reinsurance business;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and competitive factors resulting in the sale of fewer policies than expected or an increase in the frequency or severity of claims, or both;</w:t>
      </w:r>
    </w:p>
    <w:p>
      <w:pPr>
        <w:spacing w:after="0" w:line="57"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higher than expected inflationary environment on our reserves, loss adjustment expenses, the values of our investments and investment returns, and our compensation expenses;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 and our reinsurers;</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7"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or decision to terminate, such relationships;</w:t>
      </w:r>
    </w:p>
    <w:p>
      <w:pPr>
        <w:spacing w:after="0" w:line="57" w:lineRule="exact"/>
        <w:rPr>
          <w:rFonts w:ascii="Times New Roman" w:cs="Times New Roman" w:eastAsia="Times New Roman" w:hAnsi="Times New Roman"/>
          <w:sz w:val="18"/>
          <w:szCs w:val="18"/>
          <w:color w:val="auto"/>
        </w:rPr>
      </w:pPr>
    </w:p>
    <w:p>
      <w:pPr>
        <w:ind w:left="800" w:right="2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insurance and reinsurance coverage at prices and on terms that allow us to transfer risk, adequately protect our Company against financial loss and that supports our growth plans;</w:t>
      </w:r>
    </w:p>
    <w:p>
      <w:pPr>
        <w:spacing w:after="0" w:line="57" w:lineRule="exact"/>
        <w:rPr>
          <w:rFonts w:ascii="Times New Roman" w:cs="Times New Roman" w:eastAsia="Times New Roman" w:hAnsi="Times New Roman"/>
          <w:sz w:val="18"/>
          <w:szCs w:val="18"/>
          <w:color w:val="auto"/>
        </w:rPr>
      </w:pPr>
    </w:p>
    <w:p>
      <w:pPr>
        <w:jc w:val="both"/>
        <w:ind w:left="800" w:hanging="476"/>
        <w:spacing w:after="0" w:line="259"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7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reinsurance recoverable on unpaid losses and the possibility that reinsurance may be less than our estimate of reinsurance recoverable on unpaid losses;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and impact of the planned change to the jurisdiction of incorporation of James River Group Holdings, Ltd. from Bermuda to Delaware;</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laws and regulations;</w:t>
      </w:r>
    </w:p>
    <w:p>
      <w:pPr>
        <w:spacing w:after="0" w:line="111" w:lineRule="exact"/>
        <w:rPr>
          <w:rFonts w:ascii="Times New Roman" w:cs="Times New Roman" w:eastAsia="Times New Roman" w:hAnsi="Times New Roman"/>
          <w:sz w:val="18"/>
          <w:szCs w:val="18"/>
          <w:color w:val="auto"/>
        </w:rPr>
      </w:pPr>
    </w:p>
    <w:p>
      <w:pPr>
        <w:jc w:val="both"/>
        <w:ind w:left="800" w:hanging="476"/>
        <w:spacing w:after="0" w:line="259"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 w:name="page4"/>
    <w:bookmarkEnd w:id="3"/>
    <w:p>
      <w:pPr>
        <w:ind w:left="80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did not qualify for the insurance company exception to the passive foreign investment company (“PFIC”) rules and were therefore considered a PFIC, there could be material adverse tax consequences to an investor that is subject to U.S. federal income taxation;</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foreign subsidiary becoming subject to U.S. federal income taxation;</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in our insurance products to shield us from unanticipated financial losses or legal exposures, or other liabilities;</w:t>
      </w:r>
    </w:p>
    <w:p>
      <w:pPr>
        <w:spacing w:after="0" w:line="57" w:lineRule="exact"/>
        <w:rPr>
          <w:rFonts w:ascii="Times New Roman" w:cs="Times New Roman" w:eastAsia="Times New Roman" w:hAnsi="Times New Roman"/>
          <w:sz w:val="18"/>
          <w:szCs w:val="18"/>
          <w:color w:val="auto"/>
        </w:rPr>
      </w:pPr>
    </w:p>
    <w:p>
      <w:pPr>
        <w:ind w:left="800" w:right="2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1" w:lineRule="exact"/>
        <w:rPr>
          <w:rFonts w:ascii="Times New Roman" w:cs="Times New Roman" w:eastAsia="Times New Roman" w:hAnsi="Times New Roman"/>
          <w:sz w:val="18"/>
          <w:szCs w:val="18"/>
          <w:i w:val="1"/>
          <w:iCs w:val="1"/>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the Sarbanes-Oxley Act of 2002, as amended;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result in any litigation or legal proceedings we are or may become subject to; and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in this Quarterly Report.</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Accordingly, you should read this Quarterly Report completely and with the understanding that our actual future results may be materially different from information contained in the forward-looking statements.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Part II, Item 1A “Risk Factors” in this Quarterly Report on Form 10-Q, and our filings with the U.S. Securities and Exchange Commission (“SEC”), including our Annual Report on Form 10-K for the year ended December 31, 2024 filed with the SEC on March 4, 2025.</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00" w:type="dxa"/>
            <w:vAlign w:val="bottom"/>
          </w:tcPr>
          <w:p>
            <w:pPr>
              <w:spacing w:after="0"/>
              <w:rPr>
                <w:sz w:val="13"/>
                <w:szCs w:val="13"/>
                <w:color w:val="auto"/>
              </w:rPr>
            </w:pPr>
          </w:p>
        </w:tc>
        <w:tc>
          <w:tcPr>
            <w:tcW w:w="12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Invested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2025 – $1,441,249; 2024 – $1,278,337)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at fair value (cost: 2025 – $83,958; 2024 – $82,678)</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1,552,396</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243,882</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1,996,913</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00" w:type="dxa"/>
            <w:vAlign w:val="bottom"/>
          </w:tcPr>
          <w:p>
            <w:pPr>
              <w:spacing w:after="0"/>
              <w:rPr>
                <w:sz w:val="13"/>
                <w:szCs w:val="13"/>
                <w:color w:val="auto"/>
              </w:rPr>
            </w:pPr>
          </w:p>
        </w:tc>
        <w:tc>
          <w:tcPr>
            <w:tcW w:w="12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Payables to reinsurers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132,922</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 held</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53,178</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182,524</w:t>
            </w:r>
          </w:p>
        </w:tc>
        <w:tc>
          <w:tcPr>
            <w:tcW w:w="0" w:type="dxa"/>
            <w:vAlign w:val="bottom"/>
          </w:tcPr>
          <w:p>
            <w:pPr>
              <w:spacing w:after="0"/>
              <w:rPr>
                <w:sz w:val="1"/>
                <w:szCs w:val="1"/>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4,313,518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4,413,046</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Series A redeemable preferred shares – 2025 and 2024: 165,000 shares authorized; 112,500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Common shares – 2025 and 2024: $0.0002 par value; 200,000,000 shares authorized; 45,936,898 and 45,644,318</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Preferred Shares – 2025 and 2024: $0.00125 par value; 19,835,000 shares authorized; no shares issued and</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933,311</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deficit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(402,408)</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(69,997)</w:t>
            </w: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0" w:type="dxa"/>
            <w:vAlign w:val="bottom"/>
          </w:tcPr>
          <w:p>
            <w:pPr>
              <w:spacing w:after="0"/>
              <w:rPr>
                <w:sz w:val="1"/>
                <w:szCs w:val="1"/>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and Comprehensive Income (Loss)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540" w:type="dxa"/>
            <w:vAlign w:val="bottom"/>
            <w:gridSpan w:val="4"/>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16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written premiums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237,276</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330,423</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909,640</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1,073,480</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Ceded written premiums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(482,961)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(606,617)</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written premiums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426,679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466,863</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27,747</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earned premiums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494,610</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71,127</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(losses) on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580,913</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and loss adjustment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333,670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409,814</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140,592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146,130</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170,083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493,879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579,755</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 on continuing operations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 (Note 2):</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(13,583)</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discontinued operations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loss from discontinued operations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(16,353)</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available to common shareholders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4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Net unrealized gains, net of taxes of $3,122 and $8,238 in 2025 and $8,255 and $5,562 in</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31,056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30,992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20,924</w:t>
            </w:r>
          </w:p>
        </w:tc>
        <w:tc>
          <w:tcPr>
            <w:tcW w:w="0" w:type="dxa"/>
            <w:vAlign w:val="bottom"/>
          </w:tcPr>
          <w:p>
            <w:pPr>
              <w:spacing w:after="0"/>
              <w:rPr>
                <w:sz w:val="1"/>
                <w:szCs w:val="1"/>
                <w:color w:val="auto"/>
              </w:rPr>
            </w:pPr>
          </w:p>
        </w:tc>
      </w:tr>
      <w:tr>
        <w:trPr>
          <w:trHeight w:val="18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common share: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declared per common share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46,026,399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37,880,297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45,954,992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37,827,968</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46,026,399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37,880,297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46,461,351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37,827,968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2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2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2"/>
                <w:szCs w:val="12"/>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45,895,335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492,558</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11,743</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45,936,898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937,006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503,638</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45,644,318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933,311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460,915</w:t>
            </w: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15,354</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30,992</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4,341</w:t>
            </w:r>
          </w:p>
        </w:tc>
        <w:tc>
          <w:tcPr>
            <w:tcW w:w="0" w:type="dxa"/>
            <w:vAlign w:val="bottom"/>
          </w:tcPr>
          <w:p>
            <w:pPr>
              <w:spacing w:after="0"/>
              <w:rPr>
                <w:sz w:val="1"/>
                <w:szCs w:val="1"/>
                <w:color w:val="auto"/>
              </w:rPr>
            </w:pPr>
          </w:p>
        </w:tc>
      </w:tr>
      <w:tr>
        <w:trPr>
          <w:trHeight w:val="210"/>
        </w:trPr>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32"/>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45,936,898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503,638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2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2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2"/>
                <w:szCs w:val="12"/>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37,825,767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541,791</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31,056</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2024</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37,829,475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881,074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530,347</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37,641,563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534,621</w:t>
            </w: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(16,353)</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20,924</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159"/>
        </w:trPr>
        <w:tc>
          <w:tcPr>
            <w:tcW w:w="32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5,674</w:t>
            </w:r>
          </w:p>
        </w:tc>
        <w:tc>
          <w:tcPr>
            <w:tcW w:w="0" w:type="dxa"/>
            <w:vAlign w:val="bottom"/>
          </w:tcPr>
          <w:p>
            <w:pPr>
              <w:spacing w:after="0"/>
              <w:rPr>
                <w:sz w:val="1"/>
                <w:szCs w:val="1"/>
                <w:color w:val="auto"/>
              </w:rPr>
            </w:pPr>
          </w:p>
        </w:tc>
      </w:tr>
      <w:tr>
        <w:trPr>
          <w:trHeight w:val="210"/>
        </w:trPr>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0" w:type="dxa"/>
            <w:vAlign w:val="bottom"/>
          </w:tcPr>
          <w:p>
            <w:pPr>
              <w:spacing w:after="0"/>
              <w:rPr>
                <w:sz w:val="1"/>
                <w:szCs w:val="1"/>
                <w:color w:val="auto"/>
              </w:rPr>
            </w:pPr>
          </w:p>
        </w:tc>
      </w:tr>
      <w:tr>
        <w:trPr>
          <w:trHeight w:val="232"/>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37,829,475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530,347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r>
      <w:tr>
        <w:trPr>
          <w:trHeight w:val="23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 (a)</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Sale of JRG Re</w:t>
            </w: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96,412</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(123,004)</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198,046</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and calls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117,537</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redemptions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(91,922)</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69,457</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27,384</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of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and principal repayments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28,549</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receivable or payable,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25"/>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1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321,372</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 issuances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Senior debt repayments</w:t>
            </w: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withheld and remitted on net settlement of RSUs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25"/>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28,188</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359,949</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268,382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388,137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at beginning of period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at end of period</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28,364</w:t>
            </w:r>
          </w:p>
        </w:tc>
      </w:tr>
      <w:tr>
        <w:trPr>
          <w:trHeight w:val="231"/>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 equivalents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20"/>
                <w:szCs w:val="20"/>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(44,085)</w:t>
            </w:r>
          </w:p>
        </w:tc>
      </w:tr>
    </w:tbl>
    <w:p>
      <w:pPr>
        <w:spacing w:after="0" w:line="117" w:lineRule="exact"/>
        <w:rPr>
          <w:sz w:val="20"/>
          <w:szCs w:val="20"/>
          <w:color w:val="auto"/>
        </w:rPr>
      </w:pPr>
    </w:p>
    <w:p>
      <w:pPr>
        <w:jc w:val="both"/>
        <w:ind w:firstLine="6"/>
        <w:spacing w:after="0" w:line="261" w:lineRule="auto"/>
        <w:tabs>
          <w:tab w:leader="none" w:pos="1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Cash provided by (used in) operating activities for the nine months ended September 30, 2025 and 2024 includes the restricted cash activity above related to a former insured, per the terms of a collateral trust. See “Item 2. Management’s Discussion and Analysis of Financial Condition and Results of Operations – </w:t>
      </w:r>
      <w:r>
        <w:rPr>
          <w:rFonts w:ascii="Times New Roman" w:cs="Times New Roman" w:eastAsia="Times New Roman" w:hAnsi="Times New Roman"/>
          <w:sz w:val="14"/>
          <w:szCs w:val="14"/>
          <w:i w:val="1"/>
          <w:iCs w:val="1"/>
          <w:color w:val="auto"/>
        </w:rPr>
        <w:t>Amounts Recoverable from an Indemnifying Party and Reinsurer on Legacy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Commercial Auto Book</w:t>
      </w:r>
      <w:r>
        <w:rPr>
          <w:rFonts w:ascii="Times New Roman" w:cs="Times New Roman" w:eastAsia="Times New Roman" w:hAnsi="Times New Roman"/>
          <w:sz w:val="14"/>
          <w:szCs w:val="14"/>
          <w:color w:val="auto"/>
        </w:rPr>
        <w:t>”. Excluding the restricted cash activity, cash provided by (used in) operating activities was $7.1 million and $(210.5) million for the nine months ended September 30,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2024, respectively.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9460" w:firstLine="6"/>
        <w:spacing w:after="0" w:line="369" w:lineRule="auto"/>
        <w:tabs>
          <w:tab w:leader="none" w:pos="29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spacing w:after="0" w:line="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entities.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as described below:</w:t>
      </w:r>
    </w:p>
    <w:p>
      <w:pPr>
        <w:spacing w:after="0" w:line="111"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1"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River Insurance Company is an Ohio domiciled excess and surplus lines insurance company that, with its wholly-owned insurance subsidiary, James River Casualty Company, an Ohio domiciled company, is authorized to write business in every state and the District of Columbia.</w:t>
      </w:r>
    </w:p>
    <w:p>
      <w:pPr>
        <w:spacing w:after="0" w:line="34"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an Ohio domiciled company, and Falls Lake Fire and Casualty Company, a California domiciled company. Falls Lake National and its subsidiaries primarily write specialty admitted fronting and program business.</w:t>
      </w:r>
    </w:p>
    <w:p>
      <w:pPr>
        <w:spacing w:after="0" w:line="72"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The Company has no continued involvement with JRG Re following the sale. See Discontinued Operations below and Note 2 for additional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2024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2024 was derived from the Company’s audited annual consolidated financial statements.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13"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The results of operations of a component of the Company are reported in discontinued operations when certain criteria are met as of the date of disposal, or earlier if classified as held-for-sale. The Company determined that the sale of JRG Re, which closed on April 16, 2024, represented a strategic shift that will have a major effect on the Company's operations. Accordingly, the results of JRG Re's operations have been presented as discontinued operations for all periods presented in this interim report on Form 10-Q. See Note 2 for additional disclosure.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Preparation of the condensed consolidated financial statements in conformity with U.S. GAAP requires management to make estimates and assumptions that affect the amounts reported in the condensed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60"/>
        <w:spacing w:after="0" w:line="368" w:lineRule="auto"/>
        <w:rPr>
          <w:sz w:val="20"/>
          <w:szCs w:val="20"/>
          <w:color w:val="auto"/>
        </w:rPr>
      </w:pPr>
      <w:r>
        <w:rPr>
          <w:rFonts w:ascii="Times New Roman" w:cs="Times New Roman" w:eastAsia="Times New Roman" w:hAnsi="Times New Roman"/>
          <w:sz w:val="18"/>
          <w:szCs w:val="18"/>
          <w:color w:val="auto"/>
        </w:rPr>
        <w:t xml:space="preserve">accompanying disclosures. Those estimates are inherently subject to change, and actual results may ultimately differ from those estimates. </w:t>
      </w:r>
      <w:r>
        <w:rPr>
          <w:rFonts w:ascii="Times New Roman" w:cs="Times New Roman" w:eastAsia="Times New Roman" w:hAnsi="Times New Roman"/>
          <w:sz w:val="18"/>
          <w:szCs w:val="18"/>
          <w:b w:val="1"/>
          <w:bCs w:val="1"/>
          <w:color w:val="auto"/>
        </w:rPr>
        <w:t>Variable Interest Entities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$7.3 million at September 30, 2025 and $7.7 million at December 31, 2024, representing the Company’s maximum exposure to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13"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from continuing operations reported by country and the respective tax rates imposed by each tax jurisdiction. Statutory tax rates are 0% and 21% for Bermuda and the U.S. For the three and nine months ended September 30, 2025, our effective tax rate on income from continuing operations was 39.9% and 31.9%, respectively (26.8% and 107.9% in the respective prior year periods).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81"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providing legislative changes to U.S. federal tax law. The Company continues to evaluate these changes, but the effects are not expected to have a material impact on the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new accounting standards adopted in 2025 that materially impacted the Company's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Accounting Standards</w:t>
      </w:r>
    </w:p>
    <w:p>
      <w:pPr>
        <w:spacing w:after="0" w:line="11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The guidance in ASU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spacing w:after="0" w:line="7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The guidance in ASU 2024-03</w:t>
      </w:r>
      <w:r>
        <w:rPr>
          <w:rFonts w:ascii="Times New Roman" w:cs="Times New Roman" w:eastAsia="Times New Roman" w:hAnsi="Times New Roman"/>
          <w:sz w:val="18"/>
          <w:szCs w:val="18"/>
          <w:i w:val="1"/>
          <w:iCs w:val="1"/>
          <w:color w:val="auto"/>
        </w:rPr>
        <w:t>, 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requires additional, disaggregated disclosure around certain income statement expense line items. This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8, 2023, the Company entered into a Stock Purchase Agreement (the “Stock Purchase Agreement”) with Fleming Intermediate Holdings LLC, a Cayman Islands limited liability company (“Fleming”). Pursuant to the Stock Purchase Agreement, and on the terms and subject to the conditions therein, Fleming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spacing w:after="0" w:line="7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Pursuant to the terms of the Stock Purchase Agreement, the aggregate consideration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Fleming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was subject to final post-closing adjustments, which resulted in the downward adjustment to the cash portion of the Closing Date Purchase Price discussed below.</w:t>
      </w:r>
    </w:p>
    <w:p>
      <w:pPr>
        <w:spacing w:after="0" w:line="6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required by the Stock Purchase Agreement, the Company and Fleming engaged in a post-closing purchase price true-up process. The Company agreed with an initial $11.4 million downward adjustment to the Closing Date Purchase Price due to losses from JRG Re’s operations between the date of the balance sheet used to produce the estimated closing statement and the date of closing, which downward adjustment was paid to Fleming on October 18, 2024. On April 18, 2025, the independent accounting firm appointed by the parties issued its final determination, concluding the post-closing purchase price true-up process. Pursuant to this final determination, the Company paid $522,789 to Fleming on April 29, 2025 comprised of a $483,625 final downward adjustment to the Closing Date Purchase Price and interest due according to the terms of the Stock Purchase Agreement.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determined that the sale of JRG Re represented a strategic shift that will have a major effect on its operations. Accordingly, the results of JRG Re's operations have been presented as discontinued operations for all periods presented in this interim report on Form 10-Q.</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$139.0 million pre-closing dividend was completed in the first quarter of 2024. It included the forgiveness of $133.2 million owed from JRG Holdings to JRG Re and $5.8 million paid in cash to JRG Holdings. The loss on disposal for the nine months ended September 30, 2024 of $2.7 million includes a $2.1 million gain for the change in the estimated loss on sale and selling costs incurred of $4.8 million. For the nine months ended September 30, 2025, the loss on disposal of $2.3 million includes the $522,789 downward adjustment to the Closing Date Purchase Price plus interest and $1.8 million of additional selling costs incurred by the Company related to the sale of JRG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operating results of JRG Re reported in discontinued operations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3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gridSpan w:val="6"/>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r>
      <w:tr>
        <w:trPr>
          <w:trHeight w:val="191"/>
        </w:trPr>
        <w:tc>
          <w:tcPr>
            <w:tcW w:w="5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r>
      <w:tr>
        <w:trPr>
          <w:trHeight w:val="186"/>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900" w:type="dxa"/>
            <w:vAlign w:val="bottom"/>
          </w:tcPr>
          <w:p>
            <w:pPr>
              <w:spacing w:after="0"/>
              <w:rPr>
                <w:sz w:val="19"/>
                <w:szCs w:val="19"/>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r>
      <w:tr>
        <w:trPr>
          <w:trHeight w:val="21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900" w:type="dxa"/>
            <w:vAlign w:val="bottom"/>
          </w:tcPr>
          <w:p>
            <w:pPr>
              <w:spacing w:after="0"/>
              <w:rPr>
                <w:sz w:val="19"/>
                <w:szCs w:val="19"/>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20" w:type="dxa"/>
            <w:vAlign w:val="bottom"/>
          </w:tcPr>
          <w:p>
            <w:pPr>
              <w:spacing w:after="0"/>
              <w:rPr>
                <w:sz w:val="19"/>
                <w:szCs w:val="19"/>
                <w:color w:val="auto"/>
              </w:rPr>
            </w:pPr>
          </w:p>
        </w:tc>
      </w:tr>
      <w:tr>
        <w:trPr>
          <w:trHeight w:val="21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2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Pr>
          <w:p>
            <w:pPr>
              <w:spacing w:after="0"/>
              <w:rPr>
                <w:sz w:val="19"/>
                <w:szCs w:val="19"/>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9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20" w:type="dxa"/>
            <w:vAlign w:val="bottom"/>
          </w:tcPr>
          <w:p>
            <w:pPr>
              <w:spacing w:after="0"/>
              <w:rPr>
                <w:sz w:val="19"/>
                <w:szCs w:val="19"/>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2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900" w:type="dxa"/>
            <w:vAlign w:val="bottom"/>
          </w:tcPr>
          <w:p>
            <w:pPr>
              <w:spacing w:after="0"/>
              <w:rPr>
                <w:sz w:val="19"/>
                <w:szCs w:val="19"/>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2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19"/>
                <w:szCs w:val="19"/>
                <w:color w:val="auto"/>
              </w:rPr>
            </w:pPr>
          </w:p>
        </w:tc>
      </w:tr>
      <w:tr>
        <w:trPr>
          <w:trHeight w:val="21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20" w:type="dxa"/>
            <w:vAlign w:val="bottom"/>
          </w:tcPr>
          <w:p>
            <w:pPr>
              <w:spacing w:after="0"/>
              <w:rPr>
                <w:sz w:val="19"/>
                <w:szCs w:val="19"/>
                <w:color w:val="auto"/>
              </w:rPr>
            </w:pPr>
          </w:p>
        </w:tc>
      </w:tr>
      <w:tr>
        <w:trPr>
          <w:trHeight w:val="21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2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(1,304)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(2,347)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 w:type="dxa"/>
            <w:vAlign w:val="bottom"/>
          </w:tcPr>
          <w:p>
            <w:pPr>
              <w:spacing w:after="0"/>
              <w:rPr>
                <w:sz w:val="19"/>
                <w:szCs w:val="19"/>
                <w:color w:val="auto"/>
              </w:rPr>
            </w:pPr>
          </w:p>
        </w:tc>
      </w:tr>
      <w:tr>
        <w:trPr>
          <w:trHeight w:val="21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from discontinued operations</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(1,304)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w w:val="98"/>
              </w:rPr>
              <w:t>(2,347)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878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Cash flows from discontinued operations included in the consolidated statements of cash flows were as follows: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gridSpan w:val="5"/>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2"/>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r>
      <w:tr>
        <w:trPr>
          <w:trHeight w:val="186"/>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5"/>
          </w:tcPr>
          <w:p>
            <w:pPr>
              <w:jc w:val="center"/>
              <w:ind w:left="29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5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of discontinued operations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2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 of discontinued operations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20" w:type="dxa"/>
            <w:vAlign w:val="bottom"/>
          </w:tcPr>
          <w:p>
            <w:pPr>
              <w:spacing w:after="0"/>
              <w:rPr>
                <w:sz w:val="19"/>
                <w:szCs w:val="19"/>
                <w:color w:val="auto"/>
              </w:rPr>
            </w:pPr>
          </w:p>
        </w:tc>
      </w:tr>
      <w:tr>
        <w:trPr>
          <w:trHeight w:val="243"/>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4"/>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198"/>
        </w:trPr>
        <w:tc>
          <w:tcPr>
            <w:tcW w:w="5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paid by discontinued operations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480" w:type="dxa"/>
            <w:vAlign w:val="bottom"/>
            <w:tcBorders>
              <w:top w:val="single" w:sz="8" w:color="auto"/>
              <w:bottom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1,388</w:t>
            </w:r>
          </w:p>
        </w:tc>
        <w:tc>
          <w:tcPr>
            <w:tcW w:w="20" w:type="dxa"/>
            <w:vAlign w:val="bottom"/>
            <w:tcBorders>
              <w:top w:val="single" w:sz="8" w:color="auto"/>
              <w:bottom w:val="single" w:sz="8" w:color="auto"/>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559,392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135,614</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September 30, 2025 are summarized, by contractual maturity,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405,522</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216,603</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135,614</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1,441,249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(58,992)</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September 30, 2025, the Company held fixed maturity securities of 382 issuers that were in an unrealized loss position with a total fair value of $811.7 million and gross unrealized losses of $59.0 million. None of the fixed maturity securities with unrealized losses has ever missed, or been delinquent on a scheduled principal or interest payment. At September 30, 2025, 100.0% of the Company’s fixed maturity security portfolio was rated “BBB-” or better (“investment grade”) by Standard &amp; Poor’s or received an equivalent rating from another nationally recognized rating agency.</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231F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 w:cs="Times New Roman" w:eastAsia="Times New Roman" w:hAnsi="Times New Roman"/>
          <w:sz w:val="18"/>
          <w:szCs w:val="18"/>
          <w:color w:val="000000"/>
        </w:rPr>
        <w:t>et realized and unrealized gains (losses) on investments</w:t>
      </w:r>
      <w:r>
        <w:rPr>
          <w:rFonts w:ascii="Times New Roman" w:cs="Times New Roman" w:eastAsia="Times New Roman" w:hAnsi="Times New Roman"/>
          <w:sz w:val="18"/>
          <w:szCs w:val="18"/>
          <w:color w:val="231F20"/>
        </w:rPr>
        <w:t>. Unrealized losses that are not credit-related are recognized in other comprehensive income.</w:t>
      </w:r>
    </w:p>
    <w:p>
      <w:pPr>
        <w:spacing w:after="0" w:line="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September 30, 2025, December 31, 2024, or September 30, 2024. During the nine months ended September 30, 2024, management recognized an impairment loss of $207,000 for one fixed maturity security due to the Company’s inability to hold the security until a recovery in its value to the amortized cost basis. For securities in an unrealized loss position at September 30, 2025, management does not intend to sell the securities, and </w:t>
      </w:r>
      <w:r>
        <w:rPr>
          <w:rFonts w:ascii="Times New Roman" w:cs="Times New Roman" w:eastAsia="Times New Roman" w:hAnsi="Times New Roman"/>
          <w:sz w:val="18"/>
          <w:szCs w:val="18"/>
          <w:color w:val="231F20"/>
        </w:rPr>
        <w:t>it is not “more likely than not” that the Company will be required to sell these securities before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231F20"/>
        </w:rPr>
        <w:t xml:space="preserve">At September 30, 2025, the Company's bank loan portfolio had an aggregate fair value of $158.8 million and unpaid principal of </w:t>
      </w:r>
      <w:r>
        <w:rPr>
          <w:rFonts w:ascii="Times New Roman" w:cs="Times New Roman" w:eastAsia="Times New Roman" w:hAnsi="Times New Roman"/>
          <w:sz w:val="18"/>
          <w:szCs w:val="18"/>
          <w:color w:val="000000"/>
        </w:rPr>
        <w:t>$164.1 million.</w:t>
      </w:r>
      <w:r>
        <w:rPr>
          <w:rFonts w:ascii="Times New Roman" w:cs="Times New Roman" w:eastAsia="Times New Roman" w:hAnsi="Times New Roman"/>
          <w:sz w:val="18"/>
          <w:szCs w:val="18"/>
          <w:color w:val="231F20"/>
        </w:rPr>
        <w:t xml:space="preserve"> Investment income on bank loan participations included in net investment income was $3.2 million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$9.6 million for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September 30, 2025, respectively (</w:t>
      </w:r>
      <w:r>
        <w:rPr>
          <w:rFonts w:ascii="Times New Roman" w:cs="Times New Roman" w:eastAsia="Times New Roman" w:hAnsi="Times New Roman"/>
          <w:sz w:val="18"/>
          <w:szCs w:val="18"/>
          <w:color w:val="000000"/>
        </w:rPr>
        <w:t>$4.1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$13.2 million for the respective prior year periods)</w:t>
      </w:r>
      <w:r>
        <w:rPr>
          <w:rFonts w:ascii="Times New Roman" w:cs="Times New Roman" w:eastAsia="Times New Roman" w:hAnsi="Times New Roman"/>
          <w:sz w:val="18"/>
          <w:szCs w:val="18"/>
          <w:color w:val="231F20"/>
        </w:rPr>
        <w:t xml:space="preserve">. Net realized and unrealized gains (losses) on bank loan participations were </w:t>
      </w:r>
      <w:r>
        <w:rPr>
          <w:rFonts w:ascii="Times New Roman" w:cs="Times New Roman" w:eastAsia="Times New Roman" w:hAnsi="Times New Roman"/>
          <w:sz w:val="18"/>
          <w:szCs w:val="18"/>
          <w:color w:val="000000"/>
        </w:rPr>
        <w:t>$193,000 and $(1.9) million</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September 30, 2025, respectively (</w:t>
      </w:r>
      <w:r>
        <w:rPr>
          <w:rFonts w:ascii="Times New Roman" w:cs="Times New Roman" w:eastAsia="Times New Roman" w:hAnsi="Times New Roman"/>
          <w:sz w:val="18"/>
          <w:szCs w:val="18"/>
          <w:color w:val="000000"/>
        </w:rPr>
        <w:t>$(2.0) million and $(3.1) million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 prior year periods)</w:t>
      </w:r>
      <w:r>
        <w:rPr>
          <w:rFonts w:ascii="Times New Roman" w:cs="Times New Roman" w:eastAsia="Times New Roman" w:hAnsi="Times New Roman"/>
          <w:sz w:val="18"/>
          <w:szCs w:val="18"/>
          <w:color w:val="231F20"/>
        </w:rPr>
        <w:t>. For the</w:t>
      </w:r>
      <w:r>
        <w:rPr>
          <w:rFonts w:ascii="Times New Roman" w:cs="Times New Roman" w:eastAsia="Times New Roman" w:hAnsi="Times New Roman"/>
          <w:sz w:val="18"/>
          <w:szCs w:val="18"/>
          <w:color w:val="000000"/>
        </w:rPr>
        <w:t xml:space="preserve"> three and nine months ended </w:t>
      </w:r>
      <w:r>
        <w:rPr>
          <w:rFonts w:ascii="Times New Roman" w:cs="Times New Roman" w:eastAsia="Times New Roman" w:hAnsi="Times New Roman"/>
          <w:sz w:val="18"/>
          <w:szCs w:val="18"/>
          <w:color w:val="231F20"/>
        </w:rPr>
        <w:t>September 30, 2025, management concluded that</w:t>
      </w:r>
      <w:r>
        <w:rPr>
          <w:rFonts w:ascii="Times New Roman" w:cs="Times New Roman" w:eastAsia="Times New Roman" w:hAnsi="Times New Roman"/>
          <w:sz w:val="18"/>
          <w:szCs w:val="18"/>
          <w:color w:val="000000"/>
        </w:rPr>
        <w:t xml:space="preserve"> $117,000 of </w:t>
      </w:r>
      <w:r>
        <w:rPr>
          <w:rFonts w:ascii="Times New Roman" w:cs="Times New Roman" w:eastAsia="Times New Roman" w:hAnsi="Times New Roman"/>
          <w:sz w:val="18"/>
          <w:szCs w:val="18"/>
          <w:color w:val="231F20"/>
        </w:rPr>
        <w:t>the net realized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unrealized losses were due to credit-related impairments. For the </w:t>
      </w:r>
      <w:r>
        <w:rPr>
          <w:rFonts w:ascii="Times New Roman" w:cs="Times New Roman" w:eastAsia="Times New Roman" w:hAnsi="Times New Roman"/>
          <w:sz w:val="18"/>
          <w:szCs w:val="18"/>
          <w:color w:val="000000"/>
        </w:rPr>
        <w:t>three and nine months ended September 30, 2024</w:t>
      </w:r>
      <w:r>
        <w:rPr>
          <w:rFonts w:ascii="Times New Roman" w:cs="Times New Roman" w:eastAsia="Times New Roman" w:hAnsi="Times New Roman"/>
          <w:sz w:val="18"/>
          <w:szCs w:val="18"/>
          <w:color w:val="231F20"/>
        </w:rPr>
        <w:t xml:space="preserve">, management concluded that </w:t>
      </w:r>
      <w:r>
        <w:rPr>
          <w:rFonts w:ascii="Times New Roman" w:cs="Times New Roman" w:eastAsia="Times New Roman" w:hAnsi="Times New Roman"/>
          <w:sz w:val="18"/>
          <w:szCs w:val="18"/>
          <w:color w:val="000000"/>
        </w:rPr>
        <w:t>$654,000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$2.5 million </w:t>
      </w:r>
      <w:r>
        <w:rPr>
          <w:rFonts w:ascii="Times New Roman" w:cs="Times New Roman" w:eastAsia="Times New Roman" w:hAnsi="Times New Roman"/>
          <w:sz w:val="18"/>
          <w:szCs w:val="18"/>
          <w:color w:val="231F20"/>
        </w:rPr>
        <w:t>of the net realized and unrealized losses were due to credit-related impairments. Losses due to credit-related impairments are determined based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2025 or December 31, 2024.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r>
      <w:tr>
        <w:trPr>
          <w:trHeight w:val="219"/>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18"/>
        </w:trPr>
        <w:tc>
          <w:tcPr>
            <w:tcW w:w="5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r>
        <w:trPr>
          <w:trHeight w:val="218"/>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values of short-term investments and other</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5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94"/>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74"/>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94"/>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94" w:firstLine="318"/>
        <w:spacing w:after="0" w:line="274"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private debt.</w:t>
      </w:r>
    </w:p>
    <w:p>
      <w:pPr>
        <w:spacing w:after="0" w:line="91" w:lineRule="exact"/>
        <w:rPr>
          <w:sz w:val="20"/>
          <w:szCs w:val="20"/>
          <w:color w:val="auto"/>
        </w:rPr>
      </w:pPr>
    </w:p>
    <w:tbl>
      <w:tblPr>
        <w:tblLayout w:type="fixed"/>
        <w:tblInd w:w="94"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2320" w:type="dxa"/>
            <w:vAlign w:val="bottom"/>
            <w:gridSpan w:val="5"/>
          </w:tcPr>
          <w:p>
            <w:pPr>
              <w:jc w:val="center"/>
              <w:ind w:right="400"/>
              <w:spacing w:after="0" w:line="12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1"/>
                <w:szCs w:val="11"/>
                <w:color w:val="auto"/>
              </w:rPr>
            </w:pPr>
          </w:p>
        </w:tc>
        <w:tc>
          <w:tcPr>
            <w:tcW w:w="2260" w:type="dxa"/>
            <w:vAlign w:val="bottom"/>
            <w:gridSpan w:val="4"/>
          </w:tcPr>
          <w:p>
            <w:pPr>
              <w:jc w:val="right"/>
              <w:ind w:right="573"/>
              <w:spacing w:after="0" w:line="12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Private Debt </w:t>
            </w:r>
            <w:r>
              <w:rPr>
                <w:rFonts w:ascii="Times New Roman" w:cs="Times New Roman" w:eastAsia="Times New Roman" w:hAnsi="Times New Roman"/>
                <w:sz w:val="18"/>
                <w:szCs w:val="18"/>
                <w:i w:val="1"/>
                <w:iCs w:val="1"/>
                <w:color w:val="auto"/>
              </w:rPr>
              <w:t>(d)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9"/>
        </w:trPr>
        <w:tc>
          <w:tcPr>
            <w:tcW w:w="3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254" w:hanging="254"/>
        <w:spacing w:after="0" w:line="249" w:lineRule="auto"/>
        <w:tabs>
          <w:tab w:leader="none" w:pos="251"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Company's Excess and Surplus Lines segment owns equity interests ranging from 3.6% to 5.0% in various LLCs whose principal objective is capital appreciation and income generation from owning and operating renewable energy production facilities (wind and solar).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In the nine months ended September 30, 2024, the Company received $2.0 million of additional proceeds from a previous sale of two LLCs including $1.7 million in the Excess and Surplus Lines segment and $293,000 in the Corporate and Other segment. The Company received cash distributions from these investments totaling $48,000 and $439,000 in the nine months ended September 30, 2025 and 2024, respectively.</w:t>
      </w:r>
    </w:p>
    <w:p>
      <w:pPr>
        <w:spacing w:after="0" w:line="84" w:lineRule="exact"/>
        <w:rPr>
          <w:rFonts w:ascii="Times New Roman" w:cs="Times New Roman" w:eastAsia="Times New Roman" w:hAnsi="Times New Roman"/>
          <w:sz w:val="18"/>
          <w:szCs w:val="18"/>
          <w:color w:val="231F20"/>
        </w:rPr>
      </w:pPr>
    </w:p>
    <w:p>
      <w:pPr>
        <w:jc w:val="both"/>
        <w:ind w:left="254" w:hanging="254"/>
        <w:spacing w:after="0" w:line="259"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Company's </w:t>
      </w:r>
      <w:r>
        <w:rPr>
          <w:rFonts w:ascii="Times New Roman" w:cs="Times New Roman" w:eastAsia="Times New Roman" w:hAnsi="Times New Roman"/>
          <w:sz w:val="18"/>
          <w:szCs w:val="18"/>
          <w:color w:val="000000"/>
        </w:rPr>
        <w:t>Excess and Surplus Lines and</w:t>
      </w:r>
      <w:r>
        <w:rPr>
          <w:rFonts w:ascii="Times New Roman" w:cs="Times New Roman" w:eastAsia="Times New Roman" w:hAnsi="Times New Roman"/>
          <w:sz w:val="18"/>
          <w:szCs w:val="18"/>
          <w:color w:val="231F20"/>
        </w:rPr>
        <w:t xml:space="preserve"> Corporate and Other segments invested in two notes receivable for renewable energy projects. Interest on the notes was fixed at 12%. During the </w:t>
      </w:r>
      <w:r>
        <w:rPr>
          <w:rFonts w:ascii="Times New Roman" w:cs="Times New Roman" w:eastAsia="Times New Roman" w:hAnsi="Times New Roman"/>
          <w:sz w:val="18"/>
          <w:szCs w:val="18"/>
          <w:color w:val="000000"/>
        </w:rPr>
        <w:t>nine months ended September 30, 2024</w:t>
      </w:r>
      <w:r>
        <w:rPr>
          <w:rFonts w:ascii="Times New Roman" w:cs="Times New Roman" w:eastAsia="Times New Roman" w:hAnsi="Times New Roman"/>
          <w:sz w:val="18"/>
          <w:szCs w:val="18"/>
          <w:color w:val="231F20"/>
        </w:rPr>
        <w:t>, the Company received final principal repayments of $608,000 and $761,000 on the notes receivable in the Company's Excess and Surplus Lines segment and Corporate and Other segment, respectively.</w:t>
      </w:r>
    </w:p>
    <w:p>
      <w:pPr>
        <w:spacing w:after="0" w:line="71" w:lineRule="exact"/>
        <w:rPr>
          <w:rFonts w:ascii="Times New Roman" w:cs="Times New Roman" w:eastAsia="Times New Roman" w:hAnsi="Times New Roman"/>
          <w:sz w:val="18"/>
          <w:szCs w:val="18"/>
          <w:color w:val="auto"/>
        </w:rPr>
      </w:pPr>
    </w:p>
    <w:p>
      <w:pPr>
        <w:jc w:val="both"/>
        <w:ind w:left="254" w:hanging="254"/>
        <w:spacing w:after="0" w:line="244" w:lineRule="auto"/>
        <w:tabs>
          <w:tab w:leader="none" w:pos="251"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 w:cs="Times New Roman" w:eastAsia="Times New Roman" w:hAnsi="Times New Roman"/>
          <w:sz w:val="18"/>
          <w:szCs w:val="18"/>
          <w:color w:val="231F20"/>
        </w:rPr>
        <w:t>Income f</w:t>
      </w:r>
      <w:r>
        <w:rPr>
          <w:rFonts w:ascii="Times New Roman" w:cs="Times New Roman" w:eastAsia="Times New Roman" w:hAnsi="Times New Roman"/>
          <w:sz w:val="18"/>
          <w:szCs w:val="18"/>
          <w:color w:val="auto"/>
        </w:rPr>
        <w:t>rom the partnerships is recognized under the equity method of accounting. At September 30, 2025, the Company’s Excess and Surplus Lines segment has outstanding commitments to invest another $8.7 million in the limited partnerships.</w:t>
      </w:r>
    </w:p>
    <w:p>
      <w:pPr>
        <w:spacing w:after="0" w:line="72" w:lineRule="exact"/>
        <w:rPr>
          <w:rFonts w:ascii="Times New Roman" w:cs="Times New Roman" w:eastAsia="Times New Roman" w:hAnsi="Times New Roman"/>
          <w:sz w:val="18"/>
          <w:szCs w:val="18"/>
          <w:color w:val="231F20"/>
        </w:rPr>
      </w:pPr>
    </w:p>
    <w:p>
      <w:pPr>
        <w:ind w:left="254" w:hanging="254"/>
        <w:spacing w:after="0" w:line="274" w:lineRule="auto"/>
        <w:tabs>
          <w:tab w:leader="none" w:pos="248"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Company's Excess and Surplus Lines segment has invested in seven notes receivable for structured private specialty credit. Interest on two notes maturing in 2031 is fixed at 4.25% and 5.25%. Interest on two notes maturing in 2035 is fixed at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34"/>
          </w:cols>
          <w:pgMar w:left="226"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6.50% and 8.00%. At September 30, 2025, the Company’s Excess and Surplus Lines segment has outstanding commitments to invest another $5.6 million in these notes.</w:t>
      </w:r>
    </w:p>
    <w:p>
      <w:pPr>
        <w:spacing w:after="0" w:line="57"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On April 11, 2025, the Company entered into an investment agreement with Sixth Street, the parent of Enstar. Pursuant to the agreement, the Company's Excess and Surplus Lines segment has invested in collateralized investment grade notes receivable for structured private specialty credit. Interest on three notes maturing in 2064 is fixed at 6.79%, 8.04%, and 9.04%. At September 30, 2025, the Company’s Excess and Surplus Lines segment has outstanding commitments to invest another $59.2 million in the notes.</w:t>
      </w:r>
    </w:p>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2025 and December 31, 2024.</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250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not subject to amortization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per common share computations contained in the condensed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5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Dividends on Series A preferred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152"/>
        </w:trPr>
        <w:tc>
          <w:tcPr>
            <w:tcW w:w="54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(loss) from continuing operations available to common</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(16,262)</w:t>
            </w: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46,026,399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37,880,297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45,954,992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37,827,968</w:t>
            </w: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46,026,399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37,880,297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46,461,351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37,827,968</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2"/>
        </w:trPr>
        <w:tc>
          <w:tcPr>
            <w:tcW w:w="5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18"/>
        </w:trPr>
        <w:tc>
          <w:tcPr>
            <w:tcW w:w="54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25"/>
        </w:trPr>
        <w:tc>
          <w:tcPr>
            <w:tcW w:w="54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r>
    </w:tbl>
    <w:p>
      <w:pPr>
        <w:spacing w:after="0" w:line="2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September 30, 2025, potential common shares of </w:t>
      </w:r>
      <w:r>
        <w:rPr>
          <w:rFonts w:ascii="Times New Roman" w:cs="Times New Roman" w:eastAsia="Times New Roman" w:hAnsi="Times New Roman"/>
          <w:sz w:val="18"/>
          <w:szCs w:val="18"/>
          <w:color w:val="000000"/>
        </w:rPr>
        <w:t>14,013,142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13,521,634, respectively, were excluded from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calculation of diluted earnings per common share as their effects were anti-dilutive</w:t>
      </w:r>
      <w:r>
        <w:rPr>
          <w:rFonts w:ascii="Times New Roman" w:cs="Times New Roman" w:eastAsia="Times New Roman" w:hAnsi="Times New Roman"/>
          <w:sz w:val="18"/>
          <w:szCs w:val="18"/>
          <w:color w:val="231F20"/>
        </w:rPr>
        <w:t>. For the</w:t>
      </w:r>
      <w:r>
        <w:rPr>
          <w:rFonts w:ascii="Times New Roman" w:cs="Times New Roman" w:eastAsia="Times New Roman" w:hAnsi="Times New Roman"/>
          <w:sz w:val="18"/>
          <w:szCs w:val="18"/>
          <w:color w:val="000000"/>
        </w:rPr>
        <w:t xml:space="preserve"> three and nine months ended September 30, 2024</w:t>
      </w:r>
      <w:r>
        <w:rPr>
          <w:rFonts w:ascii="Times New Roman" w:cs="Times New Roman" w:eastAsia="Times New Roman" w:hAnsi="Times New Roman"/>
          <w:sz w:val="18"/>
          <w:szCs w:val="18"/>
          <w:color w:val="231F20"/>
        </w:rPr>
        <w:t>, potential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common shares of </w:t>
      </w:r>
      <w:r>
        <w:rPr>
          <w:rFonts w:ascii="Times New Roman" w:cs="Times New Roman" w:eastAsia="Times New Roman" w:hAnsi="Times New Roman"/>
          <w:sz w:val="18"/>
          <w:szCs w:val="18"/>
          <w:color w:val="000000"/>
        </w:rPr>
        <w:t>6,949,943 and 6,957,275, respectively, were excluded from the calculation of diluted earnings per common share as their effects were anti-dilutive.</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231F20"/>
        </w:rPr>
        <w:t>The Company amended the Series A Preferred Shares on November 11, 2024, which, among other things, reduced the voluntary conversion price (see Note 13). The lower conversion price results in a higher number of potential common shares under an assumed conversion when the Series A Preferred Shares are determined to be dilutive in the earnings per share calculation. In applying the if-converted method in the calculation of diluted earnings per share from continuing operations when the Series A Preferred Shares are dilutive, the dividends on the Series A Preferred Shares are added back to income from continuing operations available to common shareholders in the numerator of the calculation and the additional common shares from an assumed conversion of the Series A Preferred Shares are added in the denominator of the calculation.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Reserve for Losses and Loss Adjustment Expenses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$1.5 million at September 30, 2025, $1.5 million at June 30, 2025, $1.2 million at December 31, 2024, $776,000 at September 30, 2024, $744,000 at June 30, 2024, and $660,000 at December 31,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recoverables at beginning of period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1,089,181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1,301,662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1,086,278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1,246,973</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332,410</w:t>
            </w: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67,136</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409,814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252,773</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Change in deferred reinsurance gain - retroactive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Loss reserves ceded in E&amp;S ADC</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313,242</w:t>
            </w:r>
          </w:p>
        </w:tc>
        <w:tc>
          <w:tcPr>
            <w:tcW w:w="0" w:type="dxa"/>
            <w:vAlign w:val="bottom"/>
          </w:tcPr>
          <w:p>
            <w:pPr>
              <w:spacing w:after="0"/>
              <w:rPr>
                <w:sz w:val="1"/>
                <w:szCs w:val="1"/>
                <w:color w:val="auto"/>
              </w:rPr>
            </w:pPr>
          </w:p>
        </w:tc>
      </w:tr>
      <w:tr>
        <w:trPr>
          <w:trHeight w:val="152"/>
        </w:trPr>
        <w:tc>
          <w:tcPr>
            <w:tcW w:w="54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Reserve for losses and loss adjustment expenses net of reinsurance</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recoverables at end of period</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1,087,374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1,061,749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1,087,374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1,061,749</w:t>
            </w:r>
          </w:p>
        </w:tc>
        <w:tc>
          <w:tcPr>
            <w:tcW w:w="0" w:type="dxa"/>
            <w:vAlign w:val="bottom"/>
          </w:tcPr>
          <w:p>
            <w:pPr>
              <w:spacing w:after="0"/>
              <w:rPr>
                <w:sz w:val="1"/>
                <w:szCs w:val="1"/>
                <w:color w:val="auto"/>
              </w:rPr>
            </w:pPr>
          </w:p>
        </w:tc>
      </w:tr>
      <w:tr>
        <w:trPr>
          <w:trHeight w:val="172"/>
        </w:trPr>
        <w:tc>
          <w:tcPr>
            <w:tcW w:w="5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Add: Reinsurance recoverables on unpaid losses and loss adjustment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expenses at end of period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2,029,383</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1,940,164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2,029,383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1,940,164</w:t>
            </w:r>
          </w:p>
        </w:tc>
        <w:tc>
          <w:tcPr>
            <w:tcW w:w="0" w:type="dxa"/>
            <w:vAlign w:val="bottom"/>
          </w:tcPr>
          <w:p>
            <w:pPr>
              <w:spacing w:after="0"/>
              <w:rPr>
                <w:sz w:val="1"/>
                <w:szCs w:val="1"/>
                <w:color w:val="auto"/>
              </w:rPr>
            </w:pPr>
          </w:p>
        </w:tc>
      </w:tr>
      <w:tr>
        <w:trPr>
          <w:trHeight w:val="152"/>
        </w:trPr>
        <w:tc>
          <w:tcPr>
            <w:tcW w:w="54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Reserve for losses and loss adjustment expenses gross of reinsurance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recoverables on unpaid losses and loss adjustment expenses at end of</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3,116,757</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3,001,913</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3,116,757</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3,001,913</w:t>
            </w:r>
          </w:p>
        </w:tc>
        <w:tc>
          <w:tcPr>
            <w:tcW w:w="0" w:type="dxa"/>
            <w:vAlign w:val="bottom"/>
          </w:tcPr>
          <w:p>
            <w:pPr>
              <w:spacing w:after="0"/>
              <w:rPr>
                <w:sz w:val="1"/>
                <w:szCs w:val="1"/>
                <w:color w:val="auto"/>
              </w:rPr>
            </w:pPr>
          </w:p>
        </w:tc>
      </w:tr>
      <w:tr>
        <w:trPr>
          <w:trHeight w:val="224"/>
        </w:trPr>
        <w:tc>
          <w:tcPr>
            <w:tcW w:w="5420" w:type="dxa"/>
            <w:vAlign w:val="bottom"/>
            <w:tcBorders>
              <w:bottom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experienced $2.6 million of net favorable reserve development in the three months ended September 30, 2025 on the reserve for losses and loss adjustment expenses held at December 31, 2024 (excluding adverse prior year development subject to retroactive reinsurance accounting - see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Portfolio Transfers and Adverse Development Covers </w:t>
      </w:r>
      <w:r>
        <w:rPr>
          <w:rFonts w:ascii="Times New Roman" w:cs="Times New Roman" w:eastAsia="Times New Roman" w:hAnsi="Times New Roman"/>
          <w:sz w:val="18"/>
          <w:szCs w:val="18"/>
          <w:color w:val="auto"/>
        </w:rPr>
        <w:t>below). This reserve development included $2.4 million of net favorable development in the Excess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Surplus Lines segment and $236,000 of net favorable development in the Specialty Admitted Insurance segment.</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 xml:space="preserve">The Company experienced $56.9 million of net adverse reserve development in the three months ended September 30, 2024 on the reserve for losses and loss adjustment expenses held at December 31, 2023 (excluding adverse prior year development subject to retroactive reinsurance accounting - see </w:t>
      </w:r>
      <w:r>
        <w:rPr>
          <w:rFonts w:ascii="Times New Roman" w:cs="Times New Roman" w:eastAsia="Times New Roman" w:hAnsi="Times New Roman"/>
          <w:sz w:val="17"/>
          <w:szCs w:val="17"/>
          <w:i w:val="1"/>
          <w:iCs w:val="1"/>
          <w:color w:val="auto"/>
        </w:rPr>
        <w:t>Loss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Portfolio Transfers and Adverse Development Covers </w:t>
      </w:r>
      <w:r>
        <w:rPr>
          <w:rFonts w:ascii="Times New Roman" w:cs="Times New Roman" w:eastAsia="Times New Roman" w:hAnsi="Times New Roman"/>
          <w:sz w:val="17"/>
          <w:szCs w:val="17"/>
          <w:color w:val="auto"/>
        </w:rPr>
        <w:t>below). This reserve development included $57.0 million of net adverse development in the Excess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Surplus Lines segment including a $52.2 million reserve charge upon execution of the E&amp;S ADC (consideration paid in excess of initial reserves).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experienced $291,000 of net adverse reserve development in the nine months ended September 30, 2025 on the reserve for losses and loss adjustment expenses held at December 31, 2024 (excluding adverse prior year development subject to retroactive reinsurance accounting - see </w:t>
      </w:r>
      <w:r>
        <w:rPr>
          <w:rFonts w:ascii="Times New Roman" w:cs="Times New Roman" w:eastAsia="Times New Roman" w:hAnsi="Times New Roman"/>
          <w:sz w:val="18"/>
          <w:szCs w:val="18"/>
          <w:i w:val="1"/>
          <w:iCs w:val="1"/>
          <w:color w:val="auto"/>
        </w:rPr>
        <w:t>Loss Portfolio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Transfers and Adverse Development Covers </w:t>
      </w:r>
      <w:r>
        <w:rPr>
          <w:rFonts w:ascii="Times New Roman" w:cs="Times New Roman" w:eastAsia="Times New Roman" w:hAnsi="Times New Roman"/>
          <w:sz w:val="18"/>
          <w:szCs w:val="18"/>
          <w:color w:val="auto"/>
        </w:rPr>
        <w:t>below). This reserve development included $52,000 of net favorable development in the Excess and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segment and $343,000 of net adverse development in the Specialty Admitted Insurance segment.</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experienced $67.1 million of net adverse reserve development in the nine months ended September 30, 2024 on the reserve for losses and loss adjustment expenses held at December 31, 2023 (excluding adverse prior year development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retroactive reinsurance accounting - see </w:t>
      </w:r>
      <w:r>
        <w:rPr>
          <w:rFonts w:ascii="Times New Roman" w:cs="Times New Roman" w:eastAsia="Times New Roman" w:hAnsi="Times New Roman"/>
          <w:sz w:val="18"/>
          <w:szCs w:val="18"/>
          <w:i w:val="1"/>
          <w:iCs w:val="1"/>
          <w:color w:val="auto"/>
        </w:rPr>
        <w:t>Loss Portfolio Transfers and Adverse Development Covers</w:t>
      </w:r>
      <w:r>
        <w:rPr>
          <w:rFonts w:ascii="Times New Roman" w:cs="Times New Roman" w:eastAsia="Times New Roman" w:hAnsi="Times New Roman"/>
          <w:sz w:val="18"/>
          <w:szCs w:val="18"/>
          <w:color w:val="auto"/>
        </w:rPr>
        <w:t xml:space="preserve"> below). This reserve development included $67.7 million of net adverse development in the Excess and Surplus Lines segment including a $52.2 million reserve charge upon execution of the E&amp;S ADC (consideration paid in excess of initial reserves), and $607,000 of net favorable development in the Specialty Admitted Insurance segment.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$458.0 million and $459.3 million as of September 30, 2025 and December 31, 2024,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and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on the subject business of the E&amp;S ADC in the three months ended September 30, 2025 exhausted the remaining limit of the E&amp;S ADC.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and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The Company has $52.5 million of aggregate limit remaining on the E&amp;S Top Up ADC at September 30,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economic impact to the Company as long as the counterparty performs under the contract. The impact of retroactive reinsurance accounting is not indicative of the Company's current and ongoing operations.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retroactive reinsurance accounting for the Commercial Auto LPT and the E&amp;S ADC for the three and nine months ended September 30, 2025 and 2024,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LPT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adverse prior year development ceded on subject business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E&amp;S ADC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59,331</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components of other comprehensive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arising during the period, before U.S. income taxes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arising during the period, net of U.S.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152"/>
        </w:trPr>
        <w:tc>
          <w:tcPr>
            <w:tcW w:w="54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Reclassification adjustment for investment (losses) gains realized in net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20,924</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net realized investment (losses) gains on available-for-sale fixed maturities disclosed above, the Company also recognized net realized and unrealized investment gains (losses) on its investments in bank loan participations and equity securities in the respective periods. Refer to Note 3 for disclosure of these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140" w:firstLine="6"/>
        <w:spacing w:after="0" w:line="420" w:lineRule="auto"/>
        <w:tabs>
          <w:tab w:leader="none" w:pos="44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Contingent Liabilities </w:t>
      </w:r>
      <w:r>
        <w:rPr>
          <w:rFonts w:ascii="Times New Roman" w:cs="Times New Roman" w:eastAsia="Times New Roman" w:hAnsi="Times New Roman"/>
          <w:sz w:val="17"/>
          <w:szCs w:val="17"/>
          <w:b w:val="1"/>
          <w:bCs w:val="1"/>
          <w:i w:val="1"/>
          <w:iCs w:val="1"/>
          <w:color w:val="auto"/>
        </w:rPr>
        <w:t>Legal Proceedings</w:t>
      </w:r>
    </w:p>
    <w:p>
      <w:pPr>
        <w:spacing w:after="0" w:line="7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March 11, 2024, the Company filed a complaint in the Supreme Court of the State of New York, New York County, Commercial Division against Fleming relating to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w:t>
      </w:r>
    </w:p>
    <w:p>
      <w:pPr>
        <w:spacing w:after="0" w:line="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July 15, 2024, Fleming filed a lawsuit in the U.S. District Court, Southern District of New York against JRG Holdings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on January 17, 2025 the Company filed its reply to Fleming's opposition, on July 2, 2025 the court heard oral argument on the motion to dismiss, and on July 17, 2025 the court granted the Company's motion to dismiss. On August 14, 2025, Fleming filed a motion for reconsideration, on August 28, 2025 the Company filed its opposition to Fleming's motion for reconsideration, and on September 4, 2025, Fleming filed its reply to the Company's opposition.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Reinsurers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September 30, 2025, the allowance for credit losses on reinsurance recoverables was $1.5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Commercial Auto LPT with Aleka to reinsure substantially all of the Rasier Commercial Auto Policies for which James River is not otherwise indemnified by Rasier under the Indemnity Agreements.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of Rasier and Aleka are required to post collateral equal to 102% of James River's estimate of the respective party's obligations in trusts pursuant to the terms of the Indemnity Agreements and the Commercial Auto LPT, respectively. At September 30, 2025, the total balance of collateral securing Rasier's obligations under the Indemnity Agreements was $43.5 million and Aleka's obligations under the Commercial Auto LPT was $21.0 million. At September 30, 2025, the total reinsurance recoverables under the Commercial Auto LPT was $20.3 million.</w:t>
      </w:r>
    </w:p>
    <w:p>
      <w:pPr>
        <w:spacing w:after="0" w:line="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2025, the balance in the Loss Fund Trust was $29.6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spacing w:after="0" w:line="8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pacing w:after="0" w:line="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Company’s continuing operations are comprised of three reportable segments, two of which are separately managed business units and the third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prior to the sale of the Company's renewal rights in 2023, workers’ compensation insurance coverage. The Corporate and Other segment consists of certain management and treasury activities of James River Group, James River UK, and JRG Holdings as well as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spacing w:after="0" w:line="87"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 xml:space="preserve">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less loss and loss adjustment expenses on business not subject to retroactive reinsurance accounting (see </w:t>
      </w:r>
      <w:r>
        <w:rPr>
          <w:rFonts w:ascii="Times New Roman" w:cs="Times New Roman" w:eastAsia="Times New Roman" w:hAnsi="Times New Roman"/>
          <w:sz w:val="18"/>
          <w:szCs w:val="18"/>
          <w:i w:val="1"/>
          <w:iCs w:val="1"/>
          <w:color w:val="auto"/>
        </w:rPr>
        <w:t>Retroactive Reinsurance Accounting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6 - Reserve for Losses and Loss Adjustment Expenses</w:t>
      </w:r>
      <w:r>
        <w:rPr>
          <w:rFonts w:ascii="Times New Roman" w:cs="Times New Roman" w:eastAsia="Times New Roman" w:hAnsi="Times New Roman"/>
          <w:sz w:val="18"/>
          <w:szCs w:val="18"/>
          <w:color w:val="auto"/>
        </w:rPr>
        <w:t>) and other operating expenses. Other operating expenses include the underwriting, acquisition,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expenses of the operating segments and, for consolidated underwriting profit, the expenses of the Corporate and Other segment. Other operating expenses for the Corporate and Other segment include personnel costs associated with the Bermuda and U.S. holding companies, professional fees, long-term incentive compensation (including share-based compensation) for the full Company, public company expenses and various other corporate expenses.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generated from policies issued to U.S. based insureds. Segment revenues for each reportable segment include net earned premiums, net investment income, and realized and unrealized (losses) gains on investments.</w:t>
      </w:r>
    </w:p>
    <w:p>
      <w:pPr>
        <w:spacing w:after="0" w:line="74"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The Company's Chief Executive Officer (“CEO”) has final authority over segment resource allocation decisions and performance assessment, and consequently, is identified as the Chief Operating Decision Maker (“CODM”). The CEO 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segment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Specialty</w:t>
            </w:r>
          </w:p>
        </w:tc>
        <w:tc>
          <w:tcPr>
            <w:tcW w:w="380" w:type="dxa"/>
            <w:vAlign w:val="bottom"/>
          </w:tcPr>
          <w:p>
            <w:pPr>
              <w:spacing w:after="0"/>
              <w:rPr>
                <w:sz w:val="13"/>
                <w:szCs w:val="13"/>
                <w:color w:val="auto"/>
              </w:rPr>
            </w:pPr>
          </w:p>
        </w:tc>
        <w:tc>
          <w:tcPr>
            <w:tcW w:w="142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Surplus</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380" w:type="dxa"/>
            <w:vAlign w:val="bottom"/>
          </w:tcPr>
          <w:p>
            <w:pPr>
              <w:spacing w:after="0"/>
              <w:rPr>
                <w:sz w:val="12"/>
                <w:szCs w:val="12"/>
                <w:color w:val="auto"/>
              </w:rPr>
            </w:pPr>
          </w:p>
        </w:tc>
        <w:tc>
          <w:tcPr>
            <w:tcW w:w="1420" w:type="dxa"/>
            <w:vAlign w:val="bottom"/>
            <w:gridSpan w:val="3"/>
          </w:tcPr>
          <w:p>
            <w:pPr>
              <w:jc w:val="center"/>
              <w:ind w:right="8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Lines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September 30, 2025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209,831</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237,276</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148,451</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121,004</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losses and loss adjustment expense - retroactive reinsurance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0" w:type="dxa"/>
            <w:vAlign w:val="bottom"/>
          </w:tcPr>
          <w:p>
            <w:pPr>
              <w:spacing w:after="0"/>
              <w:rPr>
                <w:sz w:val="1"/>
                <w:szCs w:val="1"/>
                <w:color w:val="auto"/>
              </w:rPr>
            </w:pPr>
          </w:p>
        </w:tc>
      </w:tr>
      <w:tr>
        <w:trPr>
          <w:trHeight w:val="218"/>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97,489</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0" w:type="dxa"/>
            <w:vAlign w:val="bottom"/>
          </w:tcPr>
          <w:p>
            <w:pPr>
              <w:spacing w:after="0"/>
              <w:rPr>
                <w:sz w:val="1"/>
                <w:szCs w:val="1"/>
                <w:color w:val="auto"/>
              </w:rPr>
            </w:pPr>
          </w:p>
        </w:tc>
      </w:tr>
      <w:tr>
        <w:trPr>
          <w:trHeight w:val="218"/>
        </w:trPr>
        <w:tc>
          <w:tcPr>
            <w:tcW w:w="5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42,561</w:t>
            </w: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158,985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13,096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172,735</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4,950,271</w:t>
            </w:r>
          </w:p>
        </w:tc>
        <w:tc>
          <w:tcPr>
            <w:tcW w:w="0" w:type="dxa"/>
            <w:vAlign w:val="bottom"/>
          </w:tcPr>
          <w:p>
            <w:pPr>
              <w:spacing w:after="0"/>
              <w:rPr>
                <w:sz w:val="1"/>
                <w:szCs w:val="1"/>
                <w:color w:val="auto"/>
              </w:rPr>
            </w:pPr>
          </w:p>
        </w:tc>
      </w:tr>
      <w:tr>
        <w:trPr>
          <w:trHeight w:val="896"/>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Specialty</w:t>
            </w:r>
          </w:p>
        </w:tc>
        <w:tc>
          <w:tcPr>
            <w:tcW w:w="380" w:type="dxa"/>
            <w:vAlign w:val="bottom"/>
          </w:tcPr>
          <w:p>
            <w:pPr>
              <w:spacing w:after="0"/>
              <w:rPr>
                <w:sz w:val="13"/>
                <w:szCs w:val="13"/>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Surplus</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380" w:type="dxa"/>
            <w:vAlign w:val="bottom"/>
          </w:tcPr>
          <w:p>
            <w:pPr>
              <w:spacing w:after="0"/>
              <w:rPr>
                <w:sz w:val="12"/>
                <w:szCs w:val="12"/>
                <w:color w:val="auto"/>
              </w:rPr>
            </w:pPr>
          </w:p>
        </w:tc>
        <w:tc>
          <w:tcPr>
            <w:tcW w:w="1100" w:type="dxa"/>
            <w:vAlign w:val="bottom"/>
            <w:gridSpan w:val="2"/>
          </w:tcPr>
          <w:p>
            <w:pPr>
              <w:jc w:val="center"/>
              <w:ind w:right="4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Lines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September 30, 2024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330,423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159,726</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184,294</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losses and loss adjustment expense - retroactive reinsurance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0" w:type="dxa"/>
            <w:vAlign w:val="bottom"/>
          </w:tcPr>
          <w:p>
            <w:pPr>
              <w:spacing w:after="0"/>
              <w:rPr>
                <w:sz w:val="1"/>
                <w:szCs w:val="1"/>
                <w:color w:val="auto"/>
              </w:rPr>
            </w:pPr>
          </w:p>
        </w:tc>
      </w:tr>
      <w:tr>
        <w:trPr>
          <w:trHeight w:val="218"/>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(loss) profit</w:t>
            </w: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163,488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26,421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191,497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4,958,731</w:t>
            </w:r>
          </w:p>
        </w:tc>
        <w:tc>
          <w:tcPr>
            <w:tcW w:w="0" w:type="dxa"/>
            <w:vAlign w:val="bottom"/>
          </w:tcPr>
          <w:p>
            <w:pPr>
              <w:spacing w:after="0"/>
              <w:rPr>
                <w:sz w:val="1"/>
                <w:szCs w:val="1"/>
                <w:color w:val="auto"/>
              </w:rPr>
            </w:pPr>
          </w:p>
        </w:tc>
      </w:tr>
      <w:tr>
        <w:trPr>
          <w:trHeight w:val="252"/>
        </w:trPr>
        <w:tc>
          <w:tcPr>
            <w:tcW w:w="5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 September 30, 2025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909,640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452,962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333,670</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losses and loss adjustment expense - retroactive reinsurance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271,697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302,844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72,872</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31,967</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140,592</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519,867</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4,950,271</w:t>
            </w:r>
          </w:p>
        </w:tc>
        <w:tc>
          <w:tcPr>
            <w:tcW w:w="0" w:type="dxa"/>
            <w:vAlign w:val="bottom"/>
          </w:tcPr>
          <w:p>
            <w:pPr>
              <w:spacing w:after="0"/>
              <w:rPr>
                <w:sz w:val="1"/>
                <w:szCs w:val="1"/>
                <w:color w:val="auto"/>
              </w:rPr>
            </w:pPr>
          </w:p>
        </w:tc>
      </w:tr>
      <w:tr>
        <w:trPr>
          <w:trHeight w:val="902"/>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Specialty</w:t>
            </w:r>
          </w:p>
        </w:tc>
        <w:tc>
          <w:tcPr>
            <w:tcW w:w="380" w:type="dxa"/>
            <w:vAlign w:val="bottom"/>
          </w:tcPr>
          <w:p>
            <w:pPr>
              <w:spacing w:after="0"/>
              <w:rPr>
                <w:sz w:val="13"/>
                <w:szCs w:val="13"/>
                <w:color w:val="auto"/>
              </w:rPr>
            </w:pPr>
          </w:p>
        </w:tc>
        <w:tc>
          <w:tcPr>
            <w:tcW w:w="142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Surplus</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380" w:type="dxa"/>
            <w:vAlign w:val="bottom"/>
          </w:tcPr>
          <w:p>
            <w:pPr>
              <w:spacing w:after="0"/>
              <w:rPr>
                <w:sz w:val="12"/>
                <w:szCs w:val="12"/>
                <w:color w:val="auto"/>
              </w:rPr>
            </w:pPr>
          </w:p>
        </w:tc>
        <w:tc>
          <w:tcPr>
            <w:tcW w:w="1420" w:type="dxa"/>
            <w:vAlign w:val="bottom"/>
            <w:gridSpan w:val="3"/>
          </w:tcPr>
          <w:p>
            <w:pPr>
              <w:jc w:val="center"/>
              <w:ind w:right="8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Lines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 September 30, 2024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1,073,480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494,610</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409,814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losses and loss adjustment expense - retroactive reinsurance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345,387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399,546</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75,611</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146,130</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580,913</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3,423,073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4,958,731</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(loss) from continuing operations before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39,798</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operating segments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62"/>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1"/>
        </w:trPr>
        <w:tc>
          <w:tcPr>
            <w:tcW w:w="5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Operating Expenses and Other Expenses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50,217</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 of the operating segments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67,731</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146,130</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expenses of $204,000 and $1.8 million for the three and nine </w:t>
      </w:r>
      <w:r>
        <w:rPr>
          <w:rFonts w:ascii="Times New Roman" w:cs="Times New Roman" w:eastAsia="Times New Roman" w:hAnsi="Times New Roman"/>
          <w:sz w:val="18"/>
          <w:szCs w:val="18"/>
          <w:color w:val="231F20"/>
        </w:rPr>
        <w:t>months ended September 30, 2025</w:t>
      </w:r>
      <w:r>
        <w:rPr>
          <w:rFonts w:ascii="Times New Roman" w:cs="Times New Roman" w:eastAsia="Times New Roman" w:hAnsi="Times New Roman"/>
          <w:sz w:val="18"/>
          <w:szCs w:val="18"/>
          <w:color w:val="auto"/>
        </w:rPr>
        <w:t>, respectively ($1.8 million and $4.6 million in the respective prior year periods), primarily consist of certain nonoperating expenses including legal and other professional fees and other expenses related to various strategic initiatives.</w:t>
      </w:r>
    </w:p>
    <w:p>
      <w:pPr>
        <w:spacing w:after="0" w:line="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Senior Debt</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On June 12, 2025, the Company entered into a Credit Agreement (the “Credit Agreement”). The Credit Agreement replaced the Company’s previous Third Amended and Restated Credit Agreement dated as of July 7, 2023, as amended (the “Previous Credit Agreement”), that provided for a $212.5 million unsecured revolving credit facility and a $45.0 million secured revolving credit facility.</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231F20"/>
        </w:rPr>
        <w:t>The Credit Agreement provides for a $212.5 million unsecured revolving credit facility available for general corporate purposes and matures on June 12, 2028. Following the sale of JRG Re, the Company no longer has a need for the secured revolving credit facility provided by the Previous Credit Agreement. The interest rates applicable to the loans under the Credit Agreement are generally based on the Secured Overnight Financing Rate (“SOFR”) plus a specified margin based on the Company’s Leverage Ratio (as defined in the Credit Agreement). In addition, the Company will pay an unused facility fee on each lender’s commitment.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31F20"/>
        </w:rPr>
        <w:t>At September 30, 2025</w:t>
      </w:r>
      <w:r>
        <w:rPr>
          <w:rFonts w:ascii="Times New Roman" w:cs="Times New Roman" w:eastAsia="Times New Roman" w:hAnsi="Times New Roman"/>
          <w:sz w:val="18"/>
          <w:szCs w:val="18"/>
          <w:color w:val="000000"/>
        </w:rPr>
        <w:t>, the Company had a drawn balance of $210.8 million outstanding on the unsecured revolver of the Credit Agreement, including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$25.0 million previously borrowed on January 27, 2025 under the Previous Credit Agreement which was contributed to our regulated insurance entities.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$30.0 million, subject to satisfaction of certain conditions.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 w:cs="Times New Roman" w:eastAsia="Times New Roman" w:hAnsi="Times New Roman"/>
          <w:sz w:val="18"/>
          <w:szCs w:val="18"/>
          <w:color w:val="000000"/>
        </w:rPr>
        <w:t>with which the Company was in compliance at</w:t>
      </w:r>
      <w:r>
        <w:rPr>
          <w:rFonts w:ascii="Times New Roman" w:cs="Times New Roman" w:eastAsia="Times New Roman" w:hAnsi="Times New Roman"/>
          <w:sz w:val="18"/>
          <w:szCs w:val="18"/>
          <w:color w:val="231F20"/>
        </w:rPr>
        <w:t xml:space="preserve"> September 30, 2025.</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In connection with the Credit Agreement, James River UK and James River Group each entered into a Continuing Guaranty of Payment dated June 12, 2025 (each, a “Payment Guaranty”). Pursuant to its respective Payment Guaranty, each of James River UK and James River Group guarantees the payment and performance of the Company’s obligations under the Credit Agreement and other loan documents.</w:t>
      </w:r>
    </w:p>
    <w:p>
      <w:pPr>
        <w:spacing w:after="0" w:line="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Three levels of inputs are used to measure fair value of financial instruments: (1) Level 1: quoted price (unadjusted) in active markets for identical assets,</w:t>
      </w:r>
    </w:p>
    <w:p>
      <w:pPr>
        <w:spacing w:after="0" w:line="36" w:lineRule="exact"/>
        <w:rPr>
          <w:sz w:val="20"/>
          <w:szCs w:val="20"/>
          <w:color w:val="auto"/>
        </w:rPr>
      </w:pPr>
    </w:p>
    <w:p>
      <w:pPr>
        <w:jc w:val="both"/>
        <w:ind w:firstLine="6"/>
        <w:spacing w:after="0" w:line="248" w:lineRule="auto"/>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fair value prices provided by the Company’s investment accounting services provider or investment managers, who utilize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2023.</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September 30, 2025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2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559,392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135,614</w:t>
            </w:r>
          </w:p>
        </w:tc>
        <w:tc>
          <w:tcPr>
            <w:tcW w:w="0" w:type="dxa"/>
            <w:vAlign w:val="bottom"/>
          </w:tcPr>
          <w:p>
            <w:pPr>
              <w:spacing w:after="0"/>
              <w:rPr>
                <w:sz w:val="1"/>
                <w:szCs w:val="1"/>
                <w:color w:val="auto"/>
              </w:rPr>
            </w:pPr>
          </w:p>
        </w:tc>
      </w:tr>
      <w:tr>
        <w:trPr>
          <w:trHeight w:val="172"/>
        </w:trPr>
        <w:tc>
          <w:tcPr>
            <w:tcW w:w="542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0" w:type="dxa"/>
            <w:vAlign w:val="bottom"/>
          </w:tcPr>
          <w:p>
            <w:pPr>
              <w:spacing w:after="0"/>
              <w:rPr>
                <w:sz w:val="1"/>
                <w:szCs w:val="1"/>
                <w:color w:val="auto"/>
              </w:rPr>
            </w:pPr>
          </w:p>
        </w:tc>
      </w:tr>
      <w:tr>
        <w:trPr>
          <w:trHeight w:val="243"/>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74,644</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11,591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77,197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88,791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158,764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158,764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2024 are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172"/>
        </w:trPr>
        <w:tc>
          <w:tcPr>
            <w:tcW w:w="542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43"/>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142,410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142,410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4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20" w:type="dxa"/>
            <w:vAlign w:val="bottom"/>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5400" w:type="dxa"/>
            <w:vAlign w:val="bottom"/>
          </w:tcPr>
          <w:p>
            <w:pPr>
              <w:spacing w:after="0"/>
              <w:rPr>
                <w:sz w:val="16"/>
                <w:szCs w:val="16"/>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9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 to Level 3</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9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9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in earnings</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9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44"/>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held one equity security at December 31, 2024 and September 30, 2025 for which the fair value was determined using significant unobservable inputs (Level 3). The fair value of $3,000 at September 30, 2025 for the equity security was obtained from our asset manager, who used an internal model to value the security.</w:t>
      </w:r>
    </w:p>
    <w:p>
      <w:pPr>
        <w:spacing w:after="0" w:line="7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held one equity security at December 31, 2023 and September 30, 2024 for which the fair value was determined using significant unobservable inputs (Level 3). The fair value of $11,000 at September 30, 2024 for the equity security was obtained from our asset manager, who used an internal model to value the security.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nine months ended September 30, 2025 or 2024. The Company recognizes transfers between levels at the beginning of the reporting period.</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2025 and December 31, 2024, there were no investments for which external sources were unavailable to determine fair value.</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80" w:type="dxa"/>
            <w:vAlign w:val="bottom"/>
          </w:tcPr>
          <w:p>
            <w:pPr>
              <w:spacing w:after="0"/>
              <w:rPr>
                <w:sz w:val="16"/>
                <w:szCs w:val="16"/>
                <w:color w:val="auto"/>
              </w:rPr>
            </w:pPr>
          </w:p>
        </w:tc>
        <w:tc>
          <w:tcPr>
            <w:tcW w:w="2480" w:type="dxa"/>
            <w:vAlign w:val="bottom"/>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56"/>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1"/>
                <w:szCs w:val="11"/>
                <w:color w:val="auto"/>
              </w:rPr>
            </w:pPr>
          </w:p>
        </w:tc>
        <w:tc>
          <w:tcPr>
            <w:tcW w:w="1020" w:type="dxa"/>
            <w:vAlign w:val="bottom"/>
          </w:tcPr>
          <w:p>
            <w:pPr>
              <w:jc w:val="right"/>
              <w:ind w:right="356"/>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1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1,391,875</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1,189,733</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88,791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86,479</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158,764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142,410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238,750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362,345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29,632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28,705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42,620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97,074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38,248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13,902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225,800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200,800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104,055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104,055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121,766</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September 30, 2025 and December 31, 2024 were determined by calculating the present value of expected future cash flows under the terms of the note agreements or debt agreements, as applicable, discounted at an estimated market rate of interest at September 30, 2025 and December 31, 2024, respectively. The Company also utilized an internally developed valuation model based on the spread of a comparable market index to determine the fair value of certain other invested assets-notes receivable at September 30, 2025 and December 31, 2024.</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values of senior debt, junior subordinated debt, and investments in notes receivable, classified in other invested assets, at September 30, 2025 and December 31, 2024 were determined using inputs to the valuation methodology that are unobservable (Level 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Series A Preferred Shares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112,500 7% Series A Perpetual Cumulative Convertible Preferred Shares, par value $0.00125 per share (the “Series A Preferred Shares”) outstanding as of September 30, 2025 and December 31, 2024. The Series A Preferred Shares were issued on March 1, 2022 and are held by GPC Partners Investments (Thames) LP (“GPC Partners”), an affiliate of Gallatin Point Capital LLC.</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rate of 7% of the Liquidation Preference per annum, paid in cash, in-kind in common shares or in Series A Preferred Shares, at the Company’s election. On October 1, 2029, and each five-year anniversary thereafter, the dividend rate will reset to a rate equal to the five-year U.S. treasury rate plus 5.2%, subject to a cap of 8.0%. Dividends accrue and are payable quarterly. Cash dividends of $5.9 million and $10.5 million were paid on the Series A Preferred Shares in the nine months ended September 30, 2025 and 2024, respectively.</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Series A Preferred Shares are convertible at the option of the holders thereof at any time into common shares at a conversion price of $8.32, making the Series A Preferred Shares convertible into 13,521,634 common shares. The conversion price is subject to customary anti-dilution adjustments, including cash dividends on the common shares above specified levels.</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Certificate of Designations setting forth the terms of the Series A Preferred Shares (the “Certificate of Designations”)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insurance subsidiaries satisfy certain capital requirements. Share dividends payable on the common shares to the Company's shareholders also trigger a reduction of the conversion price applicable to the Series A Preferred Shares. None of the triggers that would result in adjustments to the conversion price have been met at September 30, 2025.</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at any time the volume-weighted average price (“VWAP”) per common share is greater than 200% of the then 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Upon any Mandatory Conversion on or before March 1, 2027, all dividends that would have accrued from the date of the Mandatory Conversion to the later of March 1, 2027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conversion.</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holders of the Series A Preferred Shares may require the Company to repurchase their shares upon the occurrence of certain change of control events. Upon the occurrence of a Fundamental Change (as defined in the Certificate of Designations),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March 1, 2027, all dividends that would have accrued up to such date, but that have not been paid. The repurchase price will be payable in cash.</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Because the Company may be required to repurchase all or a portion of the Series A Preferred Shares at the option of the holder upon the occurrence of certain change of control events, the Series A Preferred Shares are classified as mezzanine equity in the Company's condensed consolidated balance sheets and recognized at their determined fair value of $133.1 million. The Series A Preferred Shares were valued using a lattice method commonly applied to value preferred shares. The Series A Preferred Shares are classified as Level 3 in the valuation hierarchy due to the presence of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Certificate of Designations limits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terms of the Investment Agreement, GPC Partners has the right to designate one member of the Board (the “Series A Designee”). GPC Partners designated Matthew Botein as the Series A Designee, and Mr. Botein was approved by the Board as a Class I director with a term that expired at the 2024 annual general meeting of the Company’s shareholders. Mr. Botein was re-elected as a director at the 2024 annual general meeting for a term ending at the 2025 annual general meeting.</w:t>
      </w:r>
    </w:p>
    <w:p>
      <w:pPr>
        <w:spacing w:after="0" w:line="72" w:lineRule="exact"/>
        <w:rPr>
          <w:sz w:val="20"/>
          <w:szCs w:val="20"/>
          <w:color w:val="auto"/>
        </w:rPr>
      </w:pPr>
    </w:p>
    <w:p>
      <w:pPr>
        <w:ind w:right="8300" w:firstLine="6"/>
        <w:spacing w:after="0" w:line="362" w:lineRule="auto"/>
        <w:tabs>
          <w:tab w:leader="none" w:pos="39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and Equity Awards </w:t>
      </w:r>
      <w:r>
        <w:rPr>
          <w:rFonts w:ascii="Times New Roman" w:cs="Times New Roman" w:eastAsia="Times New Roman" w:hAnsi="Times New Roman"/>
          <w:sz w:val="18"/>
          <w:szCs w:val="18"/>
          <w:b w:val="1"/>
          <w:bCs w:val="1"/>
          <w:i w:val="1"/>
          <w:iCs w:val="1"/>
          <w:color w:val="auto"/>
        </w:rPr>
        <w:t>Common Shares</w:t>
      </w: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common shares outstanding increased from 45,644,318 at December 31, 2024 to 45,936,898 at September 30, 2025, reflecting 292,580 common shares issued in the nine months ended September 30, 2025 related to vesting of RSUs.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declared the following dividends on common shares during the first nine months of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Date of Declaration</w:t>
            </w: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8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Payable to Shareholders of</w:t>
            </w:r>
          </w:p>
        </w:tc>
        <w:tc>
          <w:tcPr>
            <w:tcW w:w="2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00" w:type="dxa"/>
            <w:vAlign w:val="bottom"/>
          </w:tcPr>
          <w:p>
            <w:pPr>
              <w:spacing w:after="0"/>
              <w:rPr>
                <w:sz w:val="16"/>
                <w:szCs w:val="16"/>
                <w:color w:val="auto"/>
              </w:rPr>
            </w:pPr>
          </w:p>
        </w:tc>
        <w:tc>
          <w:tcPr>
            <w:tcW w:w="132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Record on</w:t>
            </w:r>
          </w:p>
        </w:tc>
        <w:tc>
          <w:tcPr>
            <w:tcW w:w="2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21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10, 2025</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March 31, 2025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477,412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24,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June 9, 2025</w:t>
            </w:r>
          </w:p>
        </w:tc>
        <w:tc>
          <w:tcPr>
            <w:tcW w:w="2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June 30, 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476,186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July 24,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15, 2025</w:t>
            </w:r>
          </w:p>
        </w:tc>
        <w:tc>
          <w:tcPr>
            <w:tcW w:w="21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September 30, 2025</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475,557</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2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11, 2024</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March 29, 2024</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1,940,410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10, 2024</w:t>
            </w:r>
          </w:p>
        </w:tc>
        <w:tc>
          <w:tcPr>
            <w:tcW w:w="2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June 28,2024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1,938,439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16, 2024</w:t>
            </w:r>
          </w:p>
        </w:tc>
        <w:tc>
          <w:tcPr>
            <w:tcW w:w="21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September 30, 2024</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1,937,934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5,816,783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Included in the total dividends for the nine months ended September 30, 2025 and 2024 are $52,000 and $143,000, respectively, of dividend equivalents on unvested RSUs. The balance of dividends payable on unvested RSUs was $135,000 at September 30, 2025 and $252,000 at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At September 30, 2025, the maximum number of shares available for issuance under the 2014 LTIP was 5,507,650 and 726,476 shares were available for grant.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 The PRSUs awarded in the first quarter of 2025 have a performance period of January 1, 2025 through December 31, 2027.</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At September 30, 2025, the maximum number of shares available for issuance under the 2014 Director Plan was 250,000 and 44,931 shares were available for grant.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1,370,167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541,520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(420,936)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1,543,765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in the case of time-vest RSUs and cliff vest at the end of a three-year performance period in the case of PRSUs.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2025 and 2024 include 620,108 and 231,492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December 31, 2023, the Company had 74,390 options outstanding with an average weighted exercise price of $42.17. The options lapsed in the six months ended June 30, 2024, after which, there have been no options outstanding.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straight-line basis over the vesting period. The amount of expense and related tax benefit is summarized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340" w:type="dxa"/>
            <w:vAlign w:val="bottom"/>
            <w:gridSpan w:val="3"/>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0" w:type="dxa"/>
            <w:vAlign w:val="bottom"/>
            <w:gridSpan w:val="3"/>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5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2"/>
        </w:trPr>
        <w:tc>
          <w:tcPr>
            <w:tcW w:w="5420" w:type="dxa"/>
            <w:vAlign w:val="bottom"/>
          </w:tcPr>
          <w:p>
            <w:pPr>
              <w:spacing w:after="0"/>
              <w:rPr>
                <w:sz w:val="16"/>
                <w:szCs w:val="16"/>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847</w:t>
            </w:r>
          </w:p>
        </w:tc>
        <w:tc>
          <w:tcPr>
            <w:tcW w:w="9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1,446</w:t>
            </w:r>
          </w:p>
        </w:tc>
        <w:tc>
          <w:tcPr>
            <w:tcW w:w="5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4,341</w:t>
            </w:r>
          </w:p>
        </w:tc>
        <w:tc>
          <w:tcPr>
            <w:tcW w:w="5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r>
      <w:tr>
        <w:trPr>
          <w:trHeight w:val="23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900" w:type="dxa"/>
            <w:vAlign w:val="bottom"/>
          </w:tcPr>
          <w:p>
            <w:pPr>
              <w:spacing w:after="0"/>
              <w:rPr>
                <w:sz w:val="20"/>
                <w:szCs w:val="20"/>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135</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785</w:t>
            </w: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bl>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2025, the Company had $5.8 million of unrecognized share based compensation expense expected to be charged to earnings over a weighted-average period of 1.9 years.</w:t>
      </w:r>
    </w:p>
    <w:p>
      <w:pPr>
        <w:spacing w:after="0" w:line="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October 23, 2025, the Board of Directors declared a cash dividend of $0.01 per common share. The dividend is payable on December 31, 2025 to shareholders of record on December 15,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October 23, 2025, the Board of Directors declared a dividend of up to $2.0 million on the Series A Preferred Shares. The dividend will be payable in cash on December 31, 2025 to shareholders of record on December 15, 2025.</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the 2025 annual general meeting of shareholders held on October 23, 2025, the Company’s shareholders approved amendments to the 2014 LTIP and 2014 Director Plan increasing the number of the Company’s common shares authorized for issuance under the plans by 1,650,000 and 225,000 common shares, respectively.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Part II, Item 1A “Risk Factors” in this Quarterly Report on Form 10-Q, and Part I, Item 1A “Risk Factors” in our Annual Report on Form 10-K for the year ended December 31, 2024. The results of operations for the three and nine months ended September 30, 2025 are not necessarily indicative of the results that may be expected for the full year ending December 31, 2025,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2024.</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James River Group Holdings, Ltd. (“JRG Holdings”) is a Bermuda-based holding company. We own and operate a group of five insurance companies with the objective of generating compelling returns on tangible equity while limiting underwriting and investment volatility. We seek to accomplish this by earning profits from insurance underwriting and generating meaningful investment returns, while managing our capital to meet our risk management, regulatory and rating agency requirements.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report our continuing operations in three reportable segments:</w:t>
      </w:r>
    </w:p>
    <w:p>
      <w:pPr>
        <w:spacing w:after="0" w:line="111" w:lineRule="exact"/>
        <w:rPr>
          <w:sz w:val="20"/>
          <w:szCs w:val="20"/>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focuses on niche classes within the standard insurance markets with a primary focus on fronting business, where we retain a minority share of the risk and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spacing w:after="0" w:line="7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consists of the management, technology, and treasury activities of our holding companies, interest expense associated with our debt, and expenses of our holding companies, including public company expenses and long-term incentive compensation (including share-based compensation) for the group.</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discontinued operations include JRG Reinsurance Company Ltd.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of JRG Re, which closed on April 16, 2024, resulted in the Company’s disposition of its casualty reinsurance business and related assets. The Company has no continued involvement with JRG Re following the sale.</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reinsurance “pooling” agreement that distributes the net underwriting results among the group companies based on their approximate pro-rata level of statutory capital and surplus to the total Company statutory capital and surplus.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 Best Company financial strength rating for our U.S. insurance subsidiaries is “A-” (Excellent).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discuss certain key metrics, described below, which we believe provide useful information about our business and the operational factors underlying our financial performance.</w:t>
      </w:r>
    </w:p>
    <w:p>
      <w:pPr>
        <w:spacing w:after="0" w:line="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is a non-GAAP measure commonly used in the property and casualty insurance industry to evaluate underwriting performance.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disclosure of underwriting profit by individual segment and of the Company as a whole is useful to investors, analysts, rating agencies and other users of our financial information in evaluating our performance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our objective is to consistently earn underwriting profits. We evaluate the performance of our segments and allocate resources based primarily on the potential for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on business from continuing operations not subject to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accounting to net earned premiums. Our definition of loss ratio may not be comparable to that of other companies. See “Underwriting Performance Ratios” for a reconciliation of underwriting ratios.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Accident year loss ratio</w:t>
      </w:r>
      <w:r>
        <w:rPr>
          <w:rFonts w:ascii="Times New Roman" w:cs="Times New Roman" w:eastAsia="Times New Roman" w:hAnsi="Times New Roman"/>
          <w:sz w:val="18"/>
          <w:szCs w:val="18"/>
          <w:color w:val="auto"/>
        </w:rPr>
        <w:t>, expressed as a percentage, is the ratio of losses and loss adjustment expenses for the current accident year (excluding development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r>
        <w:rPr>
          <w:rFonts w:ascii="Times New Roman" w:cs="Times New Roman" w:eastAsia="Times New Roman" w:hAnsi="Times New Roman"/>
          <w:sz w:val="18"/>
          <w:szCs w:val="18"/>
          <w:color w:val="auto"/>
        </w:rPr>
        <w:t>, expressed as a percentage, is the ratio of other operating expenses net of gross fee income included in other income to net earned premiums.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a measure of underwriting performance calculated as the sum of the loss ratio and the expense ratio. A combined ratio of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income </w:t>
      </w:r>
      <w:r>
        <w:rPr>
          <w:rFonts w:ascii="Times New Roman" w:cs="Times New Roman" w:eastAsia="Times New Roman" w:hAnsi="Times New Roman"/>
          <w:sz w:val="18"/>
          <w:szCs w:val="18"/>
          <w:color w:val="auto"/>
        </w:rPr>
        <w:t>is an internal performance measure used in the management of our operations. We believe it gives our management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Tangible equity </w:t>
      </w:r>
      <w:r>
        <w:rPr>
          <w:rFonts w:ascii="Times New Roman" w:cs="Times New Roman" w:eastAsia="Times New Roman" w:hAnsi="Times New Roman"/>
          <w:sz w:val="18"/>
          <w:szCs w:val="18"/>
          <w:color w:val="auto"/>
        </w:rPr>
        <w:t>is defined as shareholders' equity plus mezzanine Series A Preferred Shares (as defined below) and the unrecognized deferred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gain less goodwill and intangible assets, net of amortization.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Tangible equity per share </w:t>
      </w:r>
      <w:r>
        <w:rPr>
          <w:rFonts w:ascii="Times New Roman" w:cs="Times New Roman" w:eastAsia="Times New Roman" w:hAnsi="Times New Roman"/>
          <w:sz w:val="18"/>
          <w:szCs w:val="18"/>
          <w:color w:val="auto"/>
        </w:rPr>
        <w:t>represents tangible equity divided by the sum of total common shares outstanding plus the common shares resulting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conversion of the outstanding Series A Preferred Shares into common shares (at the conversion price effective as of the last day of the applicable period).</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Tangible common equity </w:t>
      </w:r>
      <w:r>
        <w:rPr>
          <w:rFonts w:ascii="Times New Roman" w:cs="Times New Roman" w:eastAsia="Times New Roman" w:hAnsi="Times New Roman"/>
          <w:sz w:val="18"/>
          <w:szCs w:val="18"/>
          <w:color w:val="auto"/>
        </w:rPr>
        <w:t>is defined as shareholders' equity plus the unrecognized deferred retroactive reinsurance gain less goodwill and intangible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amortization. We believe tangible common equity is a good measure to evaluate the strength of our balance sheet and to compare returns relative to this measure. Key financial measures that we use to assess our longer term financial performance include the percentage growth in our tangible common equity per share and our return on tangible common equity. Tangible common equity is a non-GAAP measure and should not be viewed as a substitute for shareholders’ equity calculated in accordance with GAAP. Our definition of tangible common equity may not be comparable to that of other companies. See “Reconciliation of Non-GAAP Measures” for a reconciliation of shareholders' equity to tangible common equity.</w:t>
      </w:r>
    </w:p>
    <w:p>
      <w:pPr>
        <w:spacing w:after="0" w:line="7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return on tangible common equity </w:t>
      </w:r>
      <w:r>
        <w:rPr>
          <w:rFonts w:ascii="Times New Roman" w:cs="Times New Roman" w:eastAsia="Times New Roman" w:hAnsi="Times New Roman"/>
          <w:sz w:val="18"/>
          <w:szCs w:val="18"/>
          <w:color w:val="auto"/>
        </w:rPr>
        <w:t>is defined as annualized adjusted net operating income expressed as a percentage of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tangible common equity balances in the respective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Tangible common equity per share </w:t>
      </w:r>
      <w:r>
        <w:rPr>
          <w:rFonts w:ascii="Times New Roman" w:cs="Times New Roman" w:eastAsia="Times New Roman" w:hAnsi="Times New Roman"/>
          <w:sz w:val="18"/>
          <w:szCs w:val="18"/>
          <w:color w:val="auto"/>
        </w:rPr>
        <w:t>represents tangible common equity divided by the total common shares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retention </w:t>
      </w:r>
      <w:r>
        <w:rPr>
          <w:rFonts w:ascii="Times New Roman" w:cs="Times New Roman" w:eastAsia="Times New Roman" w:hAnsi="Times New Roman"/>
          <w:sz w:val="18"/>
          <w:szCs w:val="18"/>
          <w:color w:val="auto"/>
        </w:rPr>
        <w:t>is defined as the ratio of net written premiums to gross written premiums.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Gross investment yield </w:t>
      </w:r>
      <w:r>
        <w:rPr>
          <w:rFonts w:ascii="Times New Roman" w:cs="Times New Roman" w:eastAsia="Times New Roman" w:hAnsi="Times New Roman"/>
          <w:sz w:val="18"/>
          <w:szCs w:val="18"/>
          <w:color w:val="auto"/>
        </w:rPr>
        <w:t>is annualized investment income before any deductions for fees and expenses, expressed as a percentage of the average beginning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carrying values of those investments during the period.</w:t>
      </w:r>
    </w:p>
    <w:p>
      <w:pPr>
        <w:spacing w:after="0" w:line="5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Unless specified otherwise, all references to our defined metrics above in this “Item 2. Management’s Discussion and Analysis of Financial Condition and Results of Operations” 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2024. There have been no significant changes to any of these policies during the current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Actions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Enstar Strategic Relationship</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commenced a multi-pronged strategic relationship with Enstar Group Limited (“Enstar”). As part of this, on November 11, 2024, Enstar, through its subsidiary Cavello Bay Reinsurance Limited (“Cavello Bay”), entered into (i) a subscription agreement to purchase $12.5 million of the Company’s common shares at a share price of $6.40, which shares are in addition to 637,640 shares Enstar previously purchased in the open market, and (ii) an adverse development cover agreement with James River (the “E&amp;S Top Up ADC”). Pursuant to the E&amp;S Top Up ADC, in exchange for a premium of $52.8 million (less an amount equal to the federal excise tax payable on the premium), Cavello Bay reinsures, effective January 1, 2024, 100% of the losses associated with James River’s Excess and Surplus Lines segment casualty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Enstar’s purchase of common shares and the E&amp;S Top Up ADC closed on December 23, 2024. The Company recognized a $52.8 million reduction in pre-tax income in connection with the E&amp;S Top Up ADC upon closing. In the three months ended September 30, 2025, the Company recognized additional adverse development on the subject business of the E&amp;S ADC that exhausted the remaining limit of the E&amp;S ADC and resulted in $22.5 million of losses ceded to the E&amp;S Top Up ADC. As a result, the Company has $52.5 million of aggregate limit remaining on the E&amp;S Top Up ADC at September 30,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 Amendment</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setting forth the terms of the Series A Preferred Shares held by GPC Partners to, among other things, (i) convert $37.5 million of the outstanding Series A Preferred Shares to common stock at a per share price of $6.40 (the “Minimum Price”), (ii) increase the voluntary conversion price from 127.5% to 130% of the Minimum Price, (iii) increase the mandatory conversion price from 130% to 200% of the voluntary conversion price, (iv) delay the first date on which the dividend rate re-sets from March 1, 2027 to October 1, 2029, (v) cap the dividend rate at 8%, (vi) eliminate the adverse development anti-dilution adjustment provision, and (vii) limit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Domestication of JRG Holdings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previously announced, we intend to change our jurisdiction of incorporation from Bermuda to Delaware, and we refer to this change as the “Domestication”. The Domestication does not require shareholder approval. On the effective date of the Domestication, expected to be on or around November 7, 2025, our common shares issued and outstanding immediately prior to the effective time of the Domestication will automatically convert by operation of law into an equivalent number of shares of common stock of James River Group Holdings, Inc., a Delaware corporation (“James River Delaware”). The Domestication is expected to lower the Company’s effective tax rate, as holding company expenses and interest expense (previously incurred in Bermuda and ineligible for U.S. tax deduction) will receive a U.S. tax deduction in future periods. For more information about the Domestication, please see our prospectus filed with the Securities and Exchange Commission on August 19, 2025, (the “Domestication Prospectus”), which is available on the Securities and Exchange Commission’s website at www.sec.gov.</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237,276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330,423</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(28.2)%</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909,640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9"/>
              </w:rPr>
              <w:t>1,073,480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retention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51.7 %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44.6 %</w:t>
            </w:r>
          </w:p>
        </w:tc>
        <w:tc>
          <w:tcPr>
            <w:tcW w:w="1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46.9 %</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43.5 %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122,733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147,338</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(16.7)%</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426,679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466,863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(7.1)%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320" w:type="dxa"/>
            <w:vAlign w:val="bottom"/>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148,451</w:t>
            </w:r>
          </w:p>
        </w:tc>
        <w:tc>
          <w:tcPr>
            <w:tcW w:w="120" w:type="dxa"/>
            <w:vAlign w:val="bottom"/>
          </w:tcPr>
          <w:p>
            <w:pPr>
              <w:spacing w:after="0"/>
              <w:rPr>
                <w:sz w:val="17"/>
                <w:szCs w:val="17"/>
                <w:color w:val="auto"/>
              </w:rPr>
            </w:pPr>
          </w:p>
        </w:tc>
        <w:tc>
          <w:tcPr>
            <w:tcW w:w="440" w:type="dxa"/>
            <w:vAlign w:val="bottom"/>
          </w:tcPr>
          <w:p>
            <w:pPr>
              <w:jc w:val="right"/>
              <w:ind w:right="2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159,726</w:t>
            </w:r>
          </w:p>
        </w:tc>
        <w:tc>
          <w:tcPr>
            <w:tcW w:w="124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452,962</w:t>
            </w:r>
          </w:p>
        </w:tc>
        <w:tc>
          <w:tcPr>
            <w:tcW w:w="120" w:type="dxa"/>
            <w:vAlign w:val="bottom"/>
          </w:tcPr>
          <w:p>
            <w:pPr>
              <w:spacing w:after="0"/>
              <w:rPr>
                <w:sz w:val="17"/>
                <w:szCs w:val="17"/>
                <w:color w:val="auto"/>
              </w:rPr>
            </w:pPr>
          </w:p>
        </w:tc>
        <w:tc>
          <w:tcPr>
            <w:tcW w:w="420" w:type="dxa"/>
            <w:vAlign w:val="bottom"/>
          </w:tcPr>
          <w:p>
            <w:pPr>
              <w:jc w:val="right"/>
              <w:ind w:right="2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494,610</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(41.4)%</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(24.2)%</w:t>
            </w: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excluding retroactive reinsurance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(97,489)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(166,340)</w:t>
            </w:r>
          </w:p>
        </w:tc>
        <w:tc>
          <w:tcPr>
            <w:tcW w:w="12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(302,844)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(399,546)</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(42,108)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(50,152)</w:t>
            </w:r>
          </w:p>
        </w:tc>
        <w:tc>
          <w:tcPr>
            <w:tcW w:w="124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(16.0)%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(138,479)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(142,471)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(1), (2)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(56,766)</w:t>
            </w:r>
          </w:p>
        </w:tc>
        <w:tc>
          <w:tcPr>
            <w:tcW w:w="12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(47,407)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Losses and loss adjustment expenses -</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31.0 %</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200.2 %</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32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(23,515)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(17,954)</w:t>
            </w:r>
          </w:p>
        </w:tc>
        <w:tc>
          <w:tcPr>
            <w:tcW w:w="1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(30,826)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(10,268)</w:t>
            </w: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21,919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23,564</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(7.0)%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62,443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71,127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(12.2)%</w:t>
            </w: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Net realized and unrealized gains (losses)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(70.1)%</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8"/>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investments</w:t>
            </w:r>
          </w:p>
        </w:tc>
        <w:tc>
          <w:tcPr>
            <w:tcW w:w="32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4,150</w:t>
            </w:r>
          </w:p>
        </w:tc>
        <w:tc>
          <w:tcPr>
            <w:tcW w:w="1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1,233</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(62.0)%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108.7 %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(6,128)</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1.6 %</w:t>
            </w:r>
          </w:p>
        </w:tc>
        <w:tc>
          <w:tcPr>
            <w:tcW w:w="30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(17,570)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(18,957)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52"/>
        </w:trPr>
        <w:tc>
          <w:tcPr>
            <w:tcW w:w="31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(loss) from continuing operations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before taxes</w:t>
            </w:r>
          </w:p>
        </w:tc>
        <w:tc>
          <w:tcPr>
            <w:tcW w:w="32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(51,991)</w:t>
            </w:r>
          </w:p>
        </w:tc>
        <w:tc>
          <w:tcPr>
            <w:tcW w:w="1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25,988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Income tax expense (benefit) on continuing</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563.5 %</w:t>
            </w:r>
          </w:p>
        </w:tc>
        <w:tc>
          <w:tcPr>
            <w:tcW w:w="0" w:type="dxa"/>
            <w:vAlign w:val="bottom"/>
          </w:tcPr>
          <w:p>
            <w:pPr>
              <w:spacing w:after="0"/>
              <w:rPr>
                <w:sz w:val="1"/>
                <w:szCs w:val="1"/>
                <w:color w:val="auto"/>
              </w:rPr>
            </w:pPr>
          </w:p>
        </w:tc>
      </w:tr>
      <w:tr>
        <w:trPr>
          <w:trHeight w:val="23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(13,914)</w:t>
            </w:r>
          </w:p>
        </w:tc>
        <w:tc>
          <w:tcPr>
            <w:tcW w:w="1240" w:type="dxa"/>
            <w:vAlign w:val="bottom"/>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8,287</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1,249</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1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income (loss) from continuing</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(38,077)</w:t>
            </w:r>
          </w:p>
        </w:tc>
        <w:tc>
          <w:tcPr>
            <w:tcW w:w="1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17,701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(1,304)</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(56.1)%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(16,262)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(85.6)%</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(39,381)</w:t>
            </w: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15,354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(16,353)</w:t>
            </w: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(2,625)</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(25.0)%</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(7,875)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(25.0)%</w:t>
            </w:r>
          </w:p>
        </w:tc>
        <w:tc>
          <w:tcPr>
            <w:tcW w:w="0" w:type="dxa"/>
            <w:vAlign w:val="bottom"/>
          </w:tcPr>
          <w:p>
            <w:pPr>
              <w:spacing w:after="0"/>
              <w:rPr>
                <w:sz w:val="1"/>
                <w:szCs w:val="1"/>
                <w:color w:val="auto"/>
              </w:rPr>
            </w:pPr>
          </w:p>
        </w:tc>
      </w:tr>
      <w:tr>
        <w:trPr>
          <w:trHeight w:val="152"/>
        </w:trPr>
        <w:tc>
          <w:tcPr>
            <w:tcW w:w="31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(loss) income available to common</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3"/>
                <w:szCs w:val="13"/>
                <w:color w:val="auto"/>
              </w:rPr>
            </w:pPr>
          </w:p>
        </w:tc>
        <w:tc>
          <w:tcPr>
            <w:tcW w:w="44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(42,006)</w:t>
            </w: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(97.7)%</w:t>
            </w: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color w:val="auto"/>
              </w:rPr>
              <w:t>9,447</w:t>
            </w:r>
          </w:p>
        </w:tc>
        <w:tc>
          <w:tcPr>
            <w:tcW w:w="120" w:type="dxa"/>
            <w:vAlign w:val="bottom"/>
          </w:tcPr>
          <w:p>
            <w:pPr>
              <w:spacing w:after="0"/>
              <w:rPr>
                <w:sz w:val="13"/>
                <w:szCs w:val="13"/>
                <w:color w:val="auto"/>
              </w:rPr>
            </w:pPr>
          </w:p>
        </w:tc>
        <w:tc>
          <w:tcPr>
            <w:tcW w:w="42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(24,228)</w:t>
            </w:r>
          </w:p>
        </w:tc>
        <w:tc>
          <w:tcPr>
            <w:tcW w:w="100" w:type="dxa"/>
            <w:vAlign w:val="bottom"/>
          </w:tcPr>
          <w:p>
            <w:pPr>
              <w:spacing w:after="0"/>
              <w:rPr>
                <w:sz w:val="13"/>
                <w:szCs w:val="13"/>
                <w:color w:val="auto"/>
              </w:rPr>
            </w:pP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operating income (loss) </w:t>
            </w:r>
            <w:r>
              <w:rPr>
                <w:rFonts w:ascii="Times New Roman" w:cs="Times New Roman" w:eastAsia="Times New Roman" w:hAnsi="Times New Roman"/>
                <w:sz w:val="14"/>
                <w:szCs w:val="14"/>
                <w:color w:val="auto"/>
              </w:rPr>
              <w:t>(1)</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(28,196)</w:t>
            </w:r>
          </w:p>
        </w:tc>
        <w:tc>
          <w:tcPr>
            <w:tcW w:w="124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38,178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104.1 %</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135.5 %</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and adjusted net operating income (loss) are non-GAAP measures. See “Reconciliation of Non-GAAP Measures.”</w:t>
      </w:r>
    </w:p>
    <w:p>
      <w:pPr>
        <w:spacing w:after="0" w:line="58" w:lineRule="exact"/>
        <w:rPr>
          <w:rFonts w:ascii="Times New Roman" w:cs="Times New Roman" w:eastAsia="Times New Roman" w:hAnsi="Times New Roman"/>
          <w:sz w:val="18"/>
          <w:szCs w:val="18"/>
          <w:i w:val="1"/>
          <w:iCs w:val="1"/>
          <w:color w:val="auto"/>
        </w:rPr>
      </w:pPr>
    </w:p>
    <w:p>
      <w:pPr>
        <w:ind w:left="640" w:right="400" w:hanging="316"/>
        <w:spacing w:after="0" w:line="276" w:lineRule="auto"/>
        <w:tabs>
          <w:tab w:leader="none" w:pos="63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underwriting results for the three and nine months ended September 30, 2025 and 2024 is gross fee income of $2.9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$11.2 million, respectively ($5.2 million and $16.1 million in the respective prior year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produced net income from continuing operations of $1.6 million and adjusted net operating income of $17.4 million for the three months ended September 30, 2025 compared to a net loss from continuing operations of $38.1 million and an adjusted net operating loss of $28.2 million for the three months ended September 30, 2024. The net loss from continuing operations and adjusted net operating loss in the prior year quarter was largely attributable to $57.0 million of adverse development recorded in the Excess and Surplus Lines segment including a $52.2 million reserve charge upon execution of the E&amp;S ADC (consideration paid in excess of initial reserves).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Underwriting results were a profit of $8.9 million (combined ratio of 94.0%) for the three months ended September 30, 2025 compared to a loss of $56.8 million (combined ratio of 135.5%) for the three months ended September 30, 2024. The underwriting loss in the prior year quarter was largely driven by the aforementioned $57.0 million of adverse development recorded in the Excess and Surplus Lines segment. Underwriting results for the three months ended September 30, 2025 and 2024 include $3.8 million and $5.2 million of premium adjustments associated with prior years including reinstatement premium in the Excess and Surplus Lines segment. The premium adjustments reduced net written and net earned premiums, and underwriting profit in the respective quarters, and resulted in increases to our combined ratio of 2.3 and 4.3 percentage points, respectively.</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loss ratio for the three months ended September 30, 2025 improved compared to the prior year quarter largely driven by net reserve development on prior accident years (excluding adverse prior year development from continuing operations that is subject to retroactive reinsurance accounting - see discussion below) which was $2.6 million or 1.8 points favorable in the three months ended September 30, 2025 compared to $56.9 million or 35.6 points adverse in the three months ended September 30, 2024. The adverse reserve development in the three months ended September 30, 2024 included $57.0 million of net adverse development in the Excess and Surplus Lines segment, including the $52.2 million reserve charge upon execution of the E&amp;S ADC (consideration paid in excess of initial reserves). Premium adjustments associated with prior years including reinstatement premium in the Excess and Surplus Lines segment increased the respective loss ratios by 1.7 and 3.3 points. The loss ratio for the current year quarter also benefited from a lower current accident year loss ratio and segment mix with the Excess and Surplus Lines segment representing 94.4% of consolidated net earned premiums in the three months ended September 30, 2025 compared to 87.0% in the three months ended September 30, 2024.</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expense ratio decreased from 31.4% in the prior year quarter to 28.3% in the current year quarter reflecting expense reductions across all segments and favorable commission adjustments related to run-off programs in our Specialty admitted Insurance segment. Refer to the Segment Results section below for further discussion of the segment expense ratios. Premium adjustments associated with prior years including reinstatement premium in the Excess and Surplus Lines segment increased the respective consolidated expense ratios by 0.6 and 1.0 points in the respective three month periods.</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Investment income declined by $1.6 million or 7.0% in the three months ended September 30, 2025 compared to the same period in the prior year primarily due to a lower interest rate environment impacting yields across several areas of the portfolio, a reduction in the portfolio's common equity allocation which was made in the fourth quarter of 2024, and a one-time payment of $819,000 in the prior year quarter related to the sale of an asset in the renewable energy portfolio. Net realized and unrealized gains on investments were lower in the current year quarter largely due to lower net favorable mark-to-market adjustments on our equity securities and bank loan participations ($1.4 million and $4.2 million in the respective quarters), reflecting increases in their fair values in the periods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xml:space="preserve"> below).</w:t>
      </w:r>
    </w:p>
    <w:p>
      <w:pPr>
        <w:spacing w:after="0" w:line="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entered into a definitive agreement on November 8, 2023 to sell JRG Re. The sale closed on April 16, 2024 and discontinued operations include losses on the disposal of JRG Re of $572,000 and $1.3 million in the three months ended September 30, 2025 and 2024, respectively.</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net operating results improved by $45.6 million from the prior year quarter reflecting the profitable underwriting results in the current year period, partially offset by lower investment income. Growth in tangible common equity of 10.1% in the current quarter was largely driven by net income and unrealized gains on fixed maturities in other comprehensive income due to a decline in interest rates. Our 19.3% adjusted net operating return on tangible common equity for the three months ended September 30, 2025 compares to a 32.8% loss for the three months ended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and 2024</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produced net income from continuing operations of $17.7 million and adjusted net operating income of $38.2 million for the nine months ended September 30, 2025 compared to a net loss from continuing operations of $91,000 and an adjusted net operating loss of $700,000 for the nine months ended September 30, 2024. The net loss from continuing operations and adjusted net operating loss in the prior year was largely attributable to $67.7 million of adverse development recorded in the Excess and Surplus Lines segment including a $52.2 million reserve charge upon execution of the E&amp;S ADC (consideration paid in excess of initial reserves).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Underwriting results were a profit of $11.6 million (combined ratio of 97.4%) for the nine months ended September 30, 2025 compared to a loss of $47.4 million (combined ratio of 109.6%) for the nine months ended September 30, 2024. The underwriting loss in the prior year was largely driven by the aforementioned $67.7 million of adverse development recorded in the Excess and Surplus Lines segment. Underwriting results for the respective nine month periods include $9.6 million and $6.4 million of premium adjustments associated with prior years including reinstatement premium in the Excess and Surplus Lines segment. The premium adjustments reduced net written and net earned premiums, and underwriting profit and increased our combined ratio by 2.0 and 1.4 percentage points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loss ratio of 66.9% for the nine months ended September 30, 2025 improved compared to the prior year loss ratio of 80.8% primarily reflecting net reserve development on prior accident years (excluding adverse prior year development from continuing operations that is subject to retroactive reinsurance accounting - see discussion below) which was $291,000 or 0.1 points adverse in the nine months ended September 30, 2025 compared to $67.1 million or 13.6 points adverse in the nine months ended September 30, 2024. The adverse reserve development in the nine months ended September 30, 2024 included $67.7 million of net adverse development in the Excess and Surplus Lines segment, including the $52.2 million reserve charge upon execution of the E&amp;S ADC (consideration paid in excess of initial reserves). Premium adjustments associated with prior years including reinstatement premium in the Excess and Surplus Lines segment increased the respective loss ratios by 1.4 and 1.1 points. The current year loss ratio also benefited from a lower current accident year loss ratio and segment mix with the Excess and Surplus Lines segment representing 92.4% of consolidated net earned premiums in the nine months ended September 30, 2025 compared to 85.9% in the nine months ended September 30, 2024.</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expense ratio increased from 28.8% in the prior year to 30.5% in the current year reflecting higher expense ratios for both operating segments, partially offset by lower expenses in the Corporate and Other segment. Refer to the Segment Results section below for further discussion of the segment expense ratios. Premium adjustments associated with prior years including reinstatement premium in the Excess and Surplus Lines segment increased the respective consolidated expense ratios by 0.6 and 0.4 points.</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Investment income declined by $8.7 million or 12.2% in the nine months ended September 30, 2025 compared to the same period in the prior year driven by lower invested assets following the funding of strategic initiatives during the second half of 2024 including the reinsurance premium paid to enter the E&amp;S ADC and the E&amp;S Top Up ADC, as well as lower yields. Net realized and unrealized losses on investments of $484,000 for the nine months ended September 30, 2025 include $1.9 million of net realized and unrealized losses on bank loan participations, partially offset by $1.4 million of net realized and unrealized gains on equity securities. Net realized and unrealized gains of $6.4 million for the nine months ended September 30, 2024 were largely due to favorable mark-to-market adjustments on equity securities of $8.3 million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xml:space="preserve"> below).</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Discontinued operations in the prior year period includes the operating results of JRG Re which were a loss of $13.6 million for the nine months ended September 30, 2024. The prior year loss from discontinued operations primarily reflects net adverse development of $7.1 million on treaties not subject to the Casualty Reinsurance loss portfolio transfer and $9.5 million of realized and unrealized losses on fixed maturity securities. The loss on disposal, also included in discontinued operations above, was $2.3 million and $2.7 million in the nine months ended September 30, 2025 and 2024, respectively.</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net operating results improved $38.9 million from the prior year due to the higher underwriting results, partially offset by lower investment income. Growth in tangible common equity of 24.2% for the nine months ended September 30, 2025 was largely driven by net income and unrealized gains on fixed maturities in other comprehensive income due to a decline in interest rates. Our 15.0% adjusted net operating return on tangible common equity for the nine months ended September 30, 2025 compares to a 0.3% loss for the nine months ended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strategy. In addition to the E&amp;S Top Up ADC described in “Recent Strategic Actions”, the Company also participates in the following retroactive reinsurance agreements.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$458.0 million and $459.3 million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and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on the subject business of the E&amp;S ADC in the three months ended September 30, 2025 exhausted the remaining limit of the E&amp;S ADC.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our results in the short-term, over the life of the contract, we would expect no economic impact to the Company as long as the counterparty performs under the contract and losses are within the limit (if any). The impact of retroactive reinsurance accounting is not indicative of our current and ongoing operations.</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the retroactive reinsurance accounting for the Commercial Auto LPT and the E&amp;S ADC for the three and nine months ended September 30, 2025 and 2024,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LPT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adverse prior year development ceded on subject business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E&amp;S ADC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59,331</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65,282</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The following table summarizes the change in premium volume by component and business segment: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gridSpan w:val="2"/>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209,831</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(8.9)%</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723,518</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736,742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(44.7)%</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(15.3)%</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121,707</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403,431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408,761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(60.0)%</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426,679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(8.6)%</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0.9 %</w:t>
            </w: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418,573</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(50.6)%</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452,962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Gross written premiums for the Excess and Surplus Lines segment (which represents 79.5% of our consolidated gross written premiums from continuing operations in the nine months ended September 30, 2025) declined by 8.9% and 1.8% from the three and nine month periods in the prior year. Given changes in our underwriting appetite, we are being selective in certain lines of business. Submissions for Core E&amp;S lines (excluding commercial auto) were 2.7% and 4.9% higher compared to the three and nine month periods in the prior year, however, the ratio of bound policies as a percentage of quotes dropped 8.9% and</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6.4%, respectively. Average premium size decreased 8.4% and 11.5%, respectively, due to our focus on writing smaller accounts and the mix of business. Renewal rates for the Excess and Surplus Lines segment were up 5.5% and 10.3% compared to the three and nine months ended September 30, 2024, respectively. The change in gross written premiums was notable in several divisions as shown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gridSpan w:val="2"/>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Allied Health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Core E&amp;S divisions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72,944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Core E&amp;S divisions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Excess and Surplus Lines gross written</w:t>
            </w: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209,831</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230,215</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w:t>
            </w: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723,518</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736,742</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400" w:type="dxa"/>
            <w:vAlign w:val="bottom"/>
            <w:tcBorders>
              <w:bottom w:val="single" w:sz="8" w:color="auto"/>
            </w:tcBorders>
            <w:gridSpan w:val="2"/>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written premiums for the Specialty Admitted Insurance segment (which represents 20.5% of our consolidated gross written premiums for the nine months ended September 30, 2025) declined from the three and nine month periods in the prior year driven by several non-renewals in our fronting business, reflective of the Company's strategy to remain opportunistic in the current market environment and manage this segment to retain minimal risk. Individual risk workers' compensation premium continues to run off following the sale of the renewal rights to that business in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net premium retention is summarized by segment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5"/>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8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premium retention for the Excess and Surplus Lines segment in the three and nine months ended September 30, 2025 was impacted by $3.8 million and $9.6 million ($5.2 million and $6.4 million in the respective three and nine month prior year periods) of premium adjustments associated with prior years including reinstatement premium which reduced net written premiums and the net retention ratio.</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premium retention for the fronting business in the Specialty Admitted Insurance segment declined in the three and nine months ended September 30, 2025 as compared to the respective prior year periods due to the mix of business, including the impact of certain non-renewals in our fronting business, and changes in reinsurance as coverages renew.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combined ratios by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105.9 %</w:t>
            </w:r>
          </w:p>
        </w:tc>
        <w:tc>
          <w:tcPr>
            <w:tcW w:w="0" w:type="dxa"/>
            <w:vAlign w:val="bottom"/>
          </w:tcPr>
          <w:p>
            <w:pPr>
              <w:spacing w:after="0"/>
              <w:rPr>
                <w:sz w:val="1"/>
                <w:szCs w:val="1"/>
                <w:color w:val="auto"/>
              </w:rPr>
            </w:pPr>
          </w:p>
        </w:tc>
      </w:tr>
      <w:tr>
        <w:trPr>
          <w:trHeight w:val="225"/>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91.4 %</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r>
        <w:trPr>
          <w:trHeight w:val="452"/>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4"/>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23"/>
                <w:szCs w:val="23"/>
                <w:color w:val="auto"/>
              </w:rPr>
            </w:pPr>
          </w:p>
        </w:tc>
        <w:tc>
          <w:tcPr>
            <w:tcW w:w="2940" w:type="dxa"/>
            <w:vAlign w:val="bottom"/>
            <w:gridSpan w:val="10"/>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gridSpan w:val="9"/>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209,831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230,215</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(8.9)%</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736,742</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121,707</w:t>
            </w:r>
          </w:p>
        </w:tc>
        <w:tc>
          <w:tcPr>
            <w:tcW w:w="100" w:type="dxa"/>
            <w:vAlign w:val="bottom"/>
          </w:tcPr>
          <w:p>
            <w:pPr>
              <w:spacing w:after="0"/>
              <w:rPr>
                <w:sz w:val="17"/>
                <w:szCs w:val="17"/>
                <w:color w:val="auto"/>
              </w:rPr>
            </w:pPr>
          </w:p>
        </w:tc>
        <w:tc>
          <w:tcPr>
            <w:tcW w:w="460" w:type="dxa"/>
            <w:vAlign w:val="bottom"/>
          </w:tcPr>
          <w:p>
            <w:pPr>
              <w:jc w:val="right"/>
              <w:ind w:right="2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129,735</w:t>
            </w:r>
          </w:p>
        </w:tc>
        <w:tc>
          <w:tcPr>
            <w:tcW w:w="1380" w:type="dxa"/>
            <w:vAlign w:val="bottom"/>
            <w:gridSpan w:val="4"/>
          </w:tcPr>
          <w:p>
            <w:pPr>
              <w:jc w:val="right"/>
              <w:ind w:right="32"/>
              <w:spacing w:after="0" w:line="198" w:lineRule="exact"/>
              <w:rPr>
                <w:sz w:val="20"/>
                <w:szCs w:val="20"/>
                <w:color w:val="auto"/>
              </w:rPr>
            </w:pPr>
            <w:r>
              <w:rPr>
                <w:rFonts w:ascii="Times New Roman" w:cs="Times New Roman" w:eastAsia="Times New Roman" w:hAnsi="Times New Roman"/>
                <w:sz w:val="18"/>
                <w:szCs w:val="18"/>
                <w:i w:val="1"/>
                <w:iCs w:val="1"/>
                <w:color w:val="auto"/>
              </w:rPr>
              <w:t>(6.2)%</w:t>
            </w:r>
          </w:p>
        </w:tc>
        <w:tc>
          <w:tcPr>
            <w:tcW w:w="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403,431</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408,761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i w:val="1"/>
                <w:iCs w:val="1"/>
                <w:color w:val="auto"/>
              </w:rPr>
              <w:t>(1.3)%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138,892</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0.9 %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(40.7)%</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excluding retroactive reinsurance</w:t>
            </w:r>
          </w:p>
        </w:tc>
        <w:tc>
          <w:tcPr>
            <w:tcW w:w="320" w:type="dxa"/>
            <w:vAlign w:val="bottom"/>
          </w:tcPr>
          <w:p>
            <w:pPr>
              <w:spacing w:after="0"/>
              <w:rPr>
                <w:sz w:val="20"/>
                <w:szCs w:val="20"/>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(89,033)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(150,249)</w:t>
            </w:r>
          </w:p>
        </w:tc>
        <w:tc>
          <w:tcPr>
            <w:tcW w:w="138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(271,697)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(345,387)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(34,709)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1380" w:type="dxa"/>
            <w:vAlign w:val="bottom"/>
            <w:gridSpan w:val="4"/>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(10.5)%</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(107,078)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i w:val="1"/>
                <w:iCs w:val="1"/>
                <w:color w:val="auto"/>
              </w:rPr>
              <w:t>(1)</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16,433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39,798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033895"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3895"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63.5 %</w:t>
            </w:r>
          </w:p>
        </w:tc>
        <w:tc>
          <w:tcPr>
            <w:tcW w:w="206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108.2 %</w:t>
            </w:r>
          </w:p>
        </w:tc>
        <w:tc>
          <w:tcPr>
            <w:tcW w:w="1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64.9 %</w:t>
            </w:r>
          </w:p>
        </w:tc>
        <w:tc>
          <w:tcPr>
            <w:tcW w:w="218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81.3 %</w:t>
            </w:r>
          </w:p>
        </w:tc>
      </w:tr>
      <w:tr>
        <w:trPr>
          <w:trHeight w:val="22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20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24.8 %</w:t>
            </w:r>
          </w:p>
        </w:tc>
        <w:tc>
          <w:tcPr>
            <w:tcW w:w="20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27.9 %</w:t>
            </w:r>
          </w:p>
        </w:tc>
        <w:tc>
          <w:tcPr>
            <w:tcW w:w="19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25.6 %</w:t>
            </w:r>
          </w:p>
        </w:tc>
        <w:tc>
          <w:tcPr>
            <w:tcW w:w="218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24.6 %</w:t>
            </w:r>
          </w:p>
        </w:tc>
      </w:tr>
      <w:tr>
        <w:trPr>
          <w:trHeight w:val="225"/>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88.3 %</w:t>
            </w:r>
          </w:p>
        </w:tc>
        <w:tc>
          <w:tcPr>
            <w:tcW w:w="206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136.1 %</w:t>
            </w:r>
          </w:p>
        </w:tc>
        <w:tc>
          <w:tcPr>
            <w:tcW w:w="1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90.5 %</w:t>
            </w:r>
          </w:p>
        </w:tc>
        <w:tc>
          <w:tcPr>
            <w:tcW w:w="218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105.9 %</w:t>
            </w:r>
          </w:p>
        </w:tc>
      </w:tr>
      <w:tr>
        <w:trPr>
          <w:trHeight w:val="22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0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63.5 %</w:t>
            </w:r>
          </w:p>
        </w:tc>
        <w:tc>
          <w:tcPr>
            <w:tcW w:w="20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64.7 %</w:t>
            </w:r>
          </w:p>
        </w:tc>
        <w:tc>
          <w:tcPr>
            <w:tcW w:w="19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63.5 %</w:t>
            </w:r>
          </w:p>
        </w:tc>
        <w:tc>
          <w:tcPr>
            <w:tcW w:w="218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64.4 %</w:t>
            </w:r>
          </w:p>
        </w:tc>
      </w:tr>
    </w:tbl>
    <w:p>
      <w:pPr>
        <w:spacing w:after="0" w:line="178"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56"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Excess and Surplus Lines segment produced underwriting profits of $16.4 million and $39.8 million (combined ratios of 88.3% and 90.5%) in the three and nine months ended September 30, 2025, respectively. This compares to underwriting losses of $50.2 million and $25.2 million (combined ratios of 136.1% and 105.9%) in the three and nine months ended September 30, 2024, respectively. The underwriting losses in the prior year periods were largely attributable to net adverse development including a $52.2 million reserve charge upon execution of the E&amp;S ADC (see loss ratio discussion below). The segment underwriting results were also impacted by premium adjustments of $3.8 million and $9.6 million in the three and nine months ended September 30, 2025, respectively ($5.2 million and $6.4 million in the respective prior year periods) that were associated with prior years including reinstatement premium which reduced net written and net earned premiums, and underwriting profit. The premium adjustments increased the segment combined ratios by 2.3 and 2.0 percentage points in the respective current year periods (4.9 and 1.5 percentage points in the respective prior year periods).</w:t>
      </w:r>
    </w:p>
    <w:p>
      <w:pPr>
        <w:spacing w:after="0" w:line="8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segment loss ratios improved in the current year periods as compared to the respective prior year periods primarily due to net reserve development on prior accident years (excluding adverse prior year development that is subject to retroactive reinsurance accounting - see discussion above) which was $2.4 million and $52,000 (1.7 and 0.0 percentage points) favorable in the three and nine months ended September 30, 2025, respectively, compared to $57.0 million and $67.7 million (41.1 and 15.9 percentage points) of adverse development in the three and nine months ended September 30, 2024, respectively. The adverse development in the prior year periods included a $52.2 million reserve charge upon execution of the E&amp;S ADC (consideration paid in excess of initial reserves). The premium adjustments associated with prior years including reinstatement premium increased the loss ratios by 1.7 and 1.4 percentage points in the respective current year periods (4.0 and 1.2 percentage points in the respective prior year periods).</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segment expense ratio declined in the current year quarter as compared to the prior year quarter due to a lower commission ratio, reflecting broker incentive commission adjustments in the current year quarter, as well as lower compensation and bad debt expenses. For the nine-month periods, a higher expense ratio in the current year was driven by the lower net earned premium including the impact of premium adjustments, lower ceding commissions due to changes in reinsurance treaty structure, and higher expenses for outside consulting and software. The impact of premium adjustments increased the segment expense ratio by 0.7 and 0.6 in the respective current year periods (1.0 and 0.3 percentage points in the respective prior year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25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27,445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100,208</w:t>
            </w:r>
          </w:p>
        </w:tc>
        <w:tc>
          <w:tcPr>
            <w:tcW w:w="1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(72.6)%</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186,122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336,738</w:t>
            </w:r>
          </w:p>
        </w:tc>
        <w:tc>
          <w:tcPr>
            <w:tcW w:w="11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w w:val="99"/>
              </w:rPr>
              <w:t>(44.7)%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14"/>
              <w:spacing w:after="0" w:line="198" w:lineRule="exact"/>
              <w:rPr>
                <w:sz w:val="20"/>
                <w:szCs w:val="20"/>
                <w:color w:val="auto"/>
              </w:rPr>
            </w:pPr>
            <w:r>
              <w:rPr>
                <w:rFonts w:ascii="Times New Roman" w:cs="Times New Roman" w:eastAsia="Times New Roman" w:hAnsi="Times New Roman"/>
                <w:sz w:val="18"/>
                <w:szCs w:val="18"/>
                <w:color w:val="auto"/>
              </w:rPr>
              <w:t>17,603</w:t>
            </w:r>
          </w:p>
        </w:tc>
        <w:tc>
          <w:tcPr>
            <w:tcW w:w="126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i w:val="1"/>
                <w:iCs w:val="1"/>
                <w:color w:val="auto"/>
              </w:rPr>
              <w:t>(94.2)%</w:t>
            </w:r>
          </w:p>
        </w:tc>
        <w:tc>
          <w:tcPr>
            <w:tcW w:w="3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23,248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58,102</w:t>
            </w:r>
          </w:p>
        </w:tc>
        <w:tc>
          <w:tcPr>
            <w:tcW w:w="116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i w:val="1"/>
                <w:iCs w:val="1"/>
                <w:color w:val="auto"/>
                <w:w w:val="99"/>
              </w:rPr>
              <w:t>(60.0)%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20,834</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(60.3)%</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34,389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69,648</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w w:val="99"/>
              </w:rPr>
              <w:t>(50.6)%</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(16,091)</w:t>
            </w:r>
          </w:p>
        </w:tc>
        <w:tc>
          <w:tcPr>
            <w:tcW w:w="126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(47.4)%</w:t>
            </w:r>
          </w:p>
        </w:tc>
        <w:tc>
          <w:tcPr>
            <w:tcW w:w="34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(31,147)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(54,159)</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w w:val="99"/>
              </w:rPr>
              <w:t>(42.5)%</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(2,933)</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(94.1)%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(9,477)</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w w:val="99"/>
              </w:rPr>
              <w:t>(43.9)%</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i w:val="1"/>
                <w:iCs w:val="1"/>
                <w:color w:val="auto"/>
              </w:rPr>
              <w:t>(1), (2)</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1,810</w:t>
            </w: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21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102.2 %</w:t>
            </w:r>
          </w:p>
        </w:tc>
        <w:tc>
          <w:tcPr>
            <w:tcW w:w="20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77.2 %</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90.6 %</w:t>
            </w:r>
          </w:p>
        </w:tc>
        <w:tc>
          <w:tcPr>
            <w:tcW w:w="216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77.8 %</w:t>
            </w:r>
          </w:p>
        </w:tc>
      </w:tr>
      <w:tr>
        <w:trPr>
          <w:trHeight w:val="225"/>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21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2.1 %</w:t>
            </w:r>
          </w:p>
        </w:tc>
        <w:tc>
          <w:tcPr>
            <w:tcW w:w="20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14.1 %</w:t>
            </w:r>
          </w:p>
        </w:tc>
        <w:tc>
          <w:tcPr>
            <w:tcW w:w="21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15.4 %</w:t>
            </w:r>
          </w:p>
        </w:tc>
        <w:tc>
          <w:tcPr>
            <w:tcW w:w="216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13.6 %</w:t>
            </w:r>
          </w:p>
        </w:tc>
      </w:tr>
      <w:tr>
        <w:trPr>
          <w:trHeight w:val="225"/>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21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104.3 %</w:t>
            </w:r>
          </w:p>
        </w:tc>
        <w:tc>
          <w:tcPr>
            <w:tcW w:w="20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91.3 %</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106.0 %</w:t>
            </w:r>
          </w:p>
        </w:tc>
        <w:tc>
          <w:tcPr>
            <w:tcW w:w="216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91.4 %</w:t>
            </w:r>
          </w:p>
        </w:tc>
      </w:tr>
      <w:tr>
        <w:trPr>
          <w:trHeight w:val="225"/>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1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105.0 %</w:t>
            </w:r>
          </w:p>
        </w:tc>
        <w:tc>
          <w:tcPr>
            <w:tcW w:w="20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78.0 %</w:t>
            </w:r>
          </w:p>
        </w:tc>
        <w:tc>
          <w:tcPr>
            <w:tcW w:w="21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89.6 %</w:t>
            </w:r>
          </w:p>
        </w:tc>
        <w:tc>
          <w:tcPr>
            <w:tcW w:w="216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78.6 %</w:t>
            </w:r>
          </w:p>
        </w:tc>
      </w:tr>
    </w:tbl>
    <w:p>
      <w:pPr>
        <w:spacing w:after="0" w:line="178"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w:t>
      </w:r>
    </w:p>
    <w:p>
      <w:pPr>
        <w:spacing w:after="0" w:line="58" w:lineRule="exact"/>
        <w:rPr>
          <w:rFonts w:ascii="Times New Roman" w:cs="Times New Roman" w:eastAsia="Times New Roman" w:hAnsi="Times New Roman"/>
          <w:sz w:val="18"/>
          <w:szCs w:val="18"/>
          <w:i w:val="1"/>
          <w:iCs w:val="1"/>
          <w:color w:val="auto"/>
        </w:rPr>
      </w:pPr>
    </w:p>
    <w:p>
      <w:pPr>
        <w:ind w:left="640" w:right="80" w:hanging="316"/>
        <w:spacing w:after="0" w:line="276" w:lineRule="auto"/>
        <w:tabs>
          <w:tab w:leader="none" w:pos="63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Underwriting results include gross fee income of $2.9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$11.2 million for the three and nine months ended September 30, 2025 respectively ($5.2 million and $16.1 million in the respective prior year periods).</w:t>
      </w:r>
    </w:p>
    <w:p>
      <w:pPr>
        <w:spacing w:after="0" w:line="5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Specialty Admitted Insurance segment reported underwriting losses of $352,000 and $2.1 million in the three and nine months ended September 30, 2025, respectively, compared to underwriting profits of $1.8 million and $6.0 million in the three and nine months ended September 30, 2024, respectively. Net earned premium and fee income declined compared to the three and nine month periods in the prior year due to the non-renewal of several programs, reflective of the Company's strategy to remain opportunistic in the current market environment and manage the segment to retain minimal risk. The segment loss ratios were impacted by net development in our loss estimates for prior accident years that was $236,000 favorable and $343,000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adverse in the three and nine months ended September 30, 2025, respectively, compared to $165,000 and $607,000 favorable in the three and nine months ended September 30, 2024, respectively. The segment expense ratios in the current year quarter benefited from certain sliding scale and other adjustments on certain programs which lowered commission expense. The Company continues to closely manage expenses in this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long-term incentive compensation (including share-based compensation) for the full Company, public company and various other corporate expenses. The expenses are included in our calculation of consolidated underwriting profit, and in our consolidated expense ratio and combined ratio. Total operating expenses of the Corporate and Other segment were $7.2 million and $26.1 million for the three and nine months ended September 30, 2025, respectively ($8.4 million and $28.2 million in the respective prior year periods). The reduction in operating expenses from the prior year periods was primarily attributable to reduced compensation expenses and lower insurance and financial audit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Net investment income was $21.9 million and $62.4 million for the three and nine months ended September 30, 2025, respectively ($23.6 million and $71.1 million in the respective prior year periods). The Company's private investments generated income of $1.1 million and $2.3 million for the three and nine months ended September 30, 2025, respectively, compared to income of $1.8 million and $3.5 million in the respective prior year periods. The prior year periods included a one-time payment of $819,000 in the prior year quarter related to the sale of an asset in the renewable energy portfolio. Excluding private investments, our net investment income declined by 4.4% in the three months ended September 30, 2025 compared to the same period in the prior year primarily due to a lower interest rate environment impacting yields across several areas of the portfolio and a reduction in the portfolio's common equity allocation which was made in the fourth quarter of 2024. For the nine months ended September 30, 2025, our net investment income excluding private investments decreased 11.0% from the prior year principally due to lower invested assets following the funding of strategic initiatives during the last half of 2024 including the reinsurance premiums paid to enter the E&amp;S ADC and the E&amp;S Top Up ADC, as well as lower yields. The average duration of our portfolio excluding restricted cash equivalents was 3.4 years at September 30, 2025.</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Major categories of the Company’s net investment income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8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40" w:type="dxa"/>
            <w:vAlign w:val="bottom"/>
            <w:gridSpan w:val="6"/>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54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191"/>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w w:val="99"/>
              </w:rPr>
              <w:t>($ in thousands)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w:t>
            </w:r>
          </w:p>
        </w:tc>
      </w:tr>
      <w:tr>
        <w:trPr>
          <w:trHeight w:val="22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25"/>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r>
      <w:tr>
        <w:trPr>
          <w:trHeight w:val="22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172"/>
        </w:trPr>
        <w:tc>
          <w:tcPr>
            <w:tcW w:w="53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Cash, cash equivalents, restricted cash equivalents and short-term</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10,335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r>
      <w:tr>
        <w:trPr>
          <w:trHeight w:val="21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73,884</w:t>
            </w:r>
          </w:p>
        </w:tc>
      </w:tr>
      <w:tr>
        <w:trPr>
          <w:trHeight w:val="225"/>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7"/>
              </w:rPr>
              <w:t>(933)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1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21,919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62,443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71,127</w:t>
            </w:r>
          </w:p>
        </w:tc>
      </w:tr>
      <w:tr>
        <w:trPr>
          <w:trHeight w:val="20"/>
        </w:trPr>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5"/>
        </w:trPr>
        <w:tc>
          <w:tcPr>
            <w:tcW w:w="5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annualized gross investment yields: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22"/>
                <w:szCs w:val="22"/>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5"/>
        </w:trPr>
        <w:tc>
          <w:tcPr>
            <w:tcW w:w="5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invested assets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5"/>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our total cash and invested assets of $1,985.0 million at September 30, 2025 (excluding restricted cash equivalents), $238.8 million represents the cash and cash equivalents portion of the portfolio. The majority of the portfolio, or $1,391.9 million, is comprised of fixed maturity securities that are classified as available-for-sale and carried at fair value with unrealized gains and losses on these securities reported, net of applicable taxes, as a separate component of accumulated comprehensive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income (loss). Also included in our investments are $158.8 million of bank loan participations, $88.8 million of equity securities, $42.6 million of short-term investments, and $64.2 million of other invested assets.</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 w:cs="Times New Roman" w:eastAsia="Times New Roman" w:hAnsi="Times New Roman"/>
          <w:sz w:val="18"/>
          <w:szCs w:val="18"/>
          <w:color w:val="231F20"/>
        </w:rPr>
        <w:t>Bank loan participations are measured at fair value pursuant to the Company's election of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value option, and changes in unrealized gains and losses in bank loan participations are reported in our income statement as net realized and unrealized gains (losses) on investments. </w:t>
      </w:r>
      <w:r>
        <w:rPr>
          <w:rFonts w:ascii="Times New Roman" w:cs="Times New Roman" w:eastAsia="Times New Roman" w:hAnsi="Times New Roman"/>
          <w:sz w:val="18"/>
          <w:szCs w:val="18"/>
          <w:color w:val="000000"/>
        </w:rPr>
        <w:t>At September 30, 2025 and December 31, 2024, the fair market value of these securities was $158.8 million and $142.4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recognized net realized and unrealized investment losses of $484,000 ($1.2 million of net realized and unrealized investment gains for the three months ended September 30, 2025), including $1.2 million of net unrealized gains on bank loan participations, $1.0 million of net unrealized gains for the change in the fair value of equity securities, $3.1 million of net realized investment losses on the sale of bank loan participations, $329,000 of net realized investment gains on the sale of equity securities, and $21,000 of net realized investment gains on the sale of fixed maturity securities.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net realized and unrealized investment gains of $6.4 million ($4.2 million of net realized and unrealized gains for the three months ended September 30, 2024), including $1.3 million of net unrealized losses on bank loan participations, $8.3 million of net unrealized gains for the change in the fair value of equity securities, $1.8 million of net realized investment losses on the sale of bank loan participations, $2.5 million of net realized investment gains on the sale of equity securities, and $1.0 million of net realized investment losses on the sale of fixed maturity securities, and a $207,000 impairment for one fixed maturity security. In the nine months ended September 30, 2024, $591,000 of net realized losses were recognized on sales of fixed maturities primarily to fund the premium under the E&amp;S ADC.</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September 30, 2025, December 31, 2024, or September 30, 2024. At September 30, 2025, 100.0% of the Company’s fixed maturity security portfolio was rated “BBB-” or better (“investment grade”) by Standard &amp; Poor’s or received an equivalent rating from another nationally recognized rating agency. </w:t>
      </w:r>
      <w:r>
        <w:rPr>
          <w:rFonts w:ascii="Times New Roman" w:cs="Times New Roman" w:eastAsia="Times New Roman" w:hAnsi="Times New Roman"/>
          <w:sz w:val="18"/>
          <w:szCs w:val="18"/>
          <w:color w:val="231F20"/>
        </w:rPr>
        <w:t>Management does not intend to sell available-for-sale securities in an unrealized loss position, and it is not “more likely than not” that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 will be required to sell these securities before a recovery in their value to their amortized cost basis occurs.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13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228,297</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559,392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40.0 %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0" w:type="dxa"/>
            <w:vAlign w:val="bottom"/>
          </w:tcPr>
          <w:p>
            <w:pPr>
              <w:spacing w:after="0"/>
              <w:rPr>
                <w:sz w:val="1"/>
                <w:szCs w:val="1"/>
                <w:color w:val="auto"/>
              </w:rPr>
            </w:pPr>
          </w:p>
        </w:tc>
      </w:tr>
      <w:tr>
        <w:trPr>
          <w:trHeight w:val="172"/>
        </w:trPr>
        <w:tc>
          <w:tcPr>
            <w:tcW w:w="330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0" w:type="dxa"/>
            <w:vAlign w:val="bottom"/>
          </w:tcPr>
          <w:p>
            <w:pPr>
              <w:spacing w:after="0"/>
              <w:rPr>
                <w:sz w:val="1"/>
                <w:szCs w:val="1"/>
                <w:color w:val="auto"/>
              </w:rPr>
            </w:pPr>
          </w:p>
        </w:tc>
      </w:tr>
      <w:tr>
        <w:trPr>
          <w:trHeight w:val="239"/>
        </w:trPr>
        <w:tc>
          <w:tcPr>
            <w:tcW w:w="3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3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1,441,249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composition of the Company’s portfolio of available-for-sale fixed maturity securities by rating as of </w:t>
      </w:r>
      <w:r>
        <w:rPr>
          <w:rFonts w:ascii="Times New Roman" w:cs="Times New Roman" w:eastAsia="Times New Roman" w:hAnsi="Times New Roman"/>
          <w:sz w:val="18"/>
          <w:szCs w:val="18"/>
          <w:color w:val="231F20"/>
        </w:rPr>
        <w:t>September 30,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2025</w:t>
      </w:r>
      <w:r>
        <w:rPr>
          <w:rFonts w:ascii="Times New Roman" w:cs="Times New Roman" w:eastAsia="Times New Roman" w:hAnsi="Times New Roman"/>
          <w:sz w:val="18"/>
          <w:szCs w:val="18"/>
          <w:color w:val="000000"/>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
        </w:trPr>
        <w:tc>
          <w:tcPr>
            <w:tcW w:w="8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186"/>
        </w:trPr>
        <w:tc>
          <w:tcPr>
            <w:tcW w:w="8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228,099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578,784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20" w:type="dxa"/>
            <w:vAlign w:val="bottom"/>
          </w:tcPr>
          <w:p>
            <w:pPr>
              <w:spacing w:after="0"/>
              <w:rPr>
                <w:sz w:val="16"/>
                <w:szCs w:val="16"/>
                <w:color w:val="auto"/>
              </w:rPr>
            </w:pPr>
          </w:p>
        </w:tc>
      </w:tr>
      <w:tr>
        <w:trPr>
          <w:trHeight w:val="24"/>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6"/>
        </w:trPr>
        <w:tc>
          <w:tcPr>
            <w:tcW w:w="7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0"/>
                <w:szCs w:val="10"/>
                <w:color w:val="auto"/>
              </w:rPr>
            </w:pPr>
          </w:p>
        </w:tc>
        <w:tc>
          <w:tcPr>
            <w:tcW w:w="100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4"/>
                <w:szCs w:val="14"/>
                <w:b w:val="1"/>
                <w:bCs w:val="1"/>
                <w:color w:val="auto"/>
              </w:rPr>
              <w:t>Fair</w:t>
            </w:r>
          </w:p>
        </w:tc>
        <w:tc>
          <w:tcPr>
            <w:tcW w:w="1320" w:type="dxa"/>
            <w:vAlign w:val="bottom"/>
          </w:tcPr>
          <w:p>
            <w:pPr>
              <w:jc w:val="right"/>
              <w:ind w:right="436"/>
              <w:spacing w:after="0" w:line="12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2"/>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Value</w:t>
            </w:r>
          </w:p>
        </w:tc>
      </w:tr>
      <w:tr>
        <w:trPr>
          <w:trHeight w:val="192"/>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tcPr>
          <w:p>
            <w:pPr>
              <w:spacing w:after="0"/>
              <w:rPr>
                <w:sz w:val="16"/>
                <w:szCs w:val="16"/>
                <w:color w:val="auto"/>
              </w:rPr>
            </w:pPr>
          </w:p>
        </w:tc>
      </w:tr>
      <w:tr>
        <w:trPr>
          <w:trHeight w:val="23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year or less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9.0 %</w:t>
            </w: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33.9 %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r>
      <w:tr>
        <w:trPr>
          <w:trHeight w:val="21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1,391,875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and (expense) included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32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3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3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90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incentive rebates - Excess and Surplus Lines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90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31F20"/>
        </w:rPr>
        <w:t>The n</w:t>
      </w:r>
      <w:r>
        <w:rPr>
          <w:rFonts w:ascii="Times New Roman" w:cs="Times New Roman" w:eastAsia="Times New Roman" w:hAnsi="Times New Roman"/>
          <w:sz w:val="18"/>
          <w:szCs w:val="18"/>
          <w:color w:val="000000"/>
        </w:rPr>
        <w:t>on-operating expenses above primarily consist of legal and other professional fees and other expenses related to various strategic initiatives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litigation that the Company is involved 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Interest expense was $6.2 million and $17.6 million for the three and nine </w:t>
      </w:r>
      <w:r>
        <w:rPr>
          <w:rFonts w:ascii="Times New Roman" w:cs="Times New Roman" w:eastAsia="Times New Roman" w:hAnsi="Times New Roman"/>
          <w:sz w:val="17"/>
          <w:szCs w:val="17"/>
          <w:color w:val="231F20"/>
        </w:rPr>
        <w:t>months ended September 30, 2025, respectively (</w:t>
      </w:r>
      <w:r>
        <w:rPr>
          <w:rFonts w:ascii="Times New Roman" w:cs="Times New Roman" w:eastAsia="Times New Roman" w:hAnsi="Times New Roman"/>
          <w:sz w:val="17"/>
          <w:szCs w:val="17"/>
          <w:color w:val="auto"/>
        </w:rPr>
        <w:t>$6.1 million and $19.0 million in the respective prior year periods)</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color w:val="auto"/>
        </w:rPr>
        <w:t xml:space="preserve"> The lower expense in the nine months ended </w:t>
      </w:r>
      <w:r>
        <w:rPr>
          <w:rFonts w:ascii="Times New Roman" w:cs="Times New Roman" w:eastAsia="Times New Roman" w:hAnsi="Times New Roman"/>
          <w:sz w:val="17"/>
          <w:szCs w:val="17"/>
          <w:color w:val="231F20"/>
        </w:rPr>
        <w:t>September 30, 2025</w:t>
      </w:r>
      <w:r>
        <w:rPr>
          <w:rFonts w:ascii="Times New Roman" w:cs="Times New Roman" w:eastAsia="Times New Roman" w:hAnsi="Times New Roman"/>
          <w:sz w:val="17"/>
          <w:szCs w:val="17"/>
          <w:color w:val="auto"/>
        </w:rPr>
        <w:t xml:space="preserve"> is primarily attributable to lower interest rates. See “— Liquidity and Capital Resources—Sources and Uses of Funds” for more information regarding our senior bank debt facilities and trust preferred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 and Impairment of Intangible Assets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Company recorded $90,000 of amortization of intangible assets in each of the three months ended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auto"/>
        </w:rPr>
        <w:t xml:space="preserve"> and 2024 ($272,000 in each of the nine months ended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auto"/>
        </w:rPr>
        <w:t xml:space="preserve"> and 2024 ).</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5"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 xml:space="preserve">Our effective tax rate fluctuates from period to period based on the relative mix of income from continuing operations reported by country and the respective tax rates imposed by each tax jurisdiction. Statutory tax rates are 0% and 21% for Bermuda and the U.S. For the three and nine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September 30, 2025</w:t>
      </w:r>
      <w:r>
        <w:rPr>
          <w:rFonts w:ascii="Times New Roman" w:cs="Times New Roman" w:eastAsia="Times New Roman" w:hAnsi="Times New Roman"/>
          <w:sz w:val="18"/>
          <w:szCs w:val="18"/>
          <w:color w:val="000000"/>
        </w:rPr>
        <w:t>, our effective tax rate on income from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continuing operations was 39.9% and 31.9%, respectively (26.8% and 107.9% in the respective prior year periods). The Company does not receive a U.S. tax deduction for losses at JRG Holdings, our only Bermuda entity. JRG Holdings had losses in all periods presented primarily due to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79"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providing legislative changes to U.S. federal tax law. The Company continues to evaluate these changes, but the effects are not expected to have a material impact on the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indicator of reserve strength that we monitor is the percentage of our gross and net loss reserves that are comprised of incurred but not reported (“IBNR”) reserves.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gross reserve for losses and loss adjustment expenses at September 30, 2025 was $3,116.8 million. Of this amount, 74.6% relates to amounts that are IBNR. This amount was 73.3% at December 31, 2024. The Company’s gross reserves for losses and loss adjustment expenses by segment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6"/>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Gross Reserves at September 30, 2025</w:t>
            </w:r>
          </w:p>
        </w:tc>
        <w:tc>
          <w:tcPr>
            <w:tcW w:w="92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IBNR</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1,864,260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2,314,597</w:t>
            </w:r>
          </w:p>
        </w:tc>
      </w:tr>
      <w:tr>
        <w:trPr>
          <w:trHeight w:val="225"/>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459,575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802,160</w:t>
            </w: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2,323,835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3,116,757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September 30, 2025, the amount of net reserves (prior to the $1.5 million allowance for uncollectible reinsurance recoverables) of $1,087.4 million that related to IBNR was 66.2%. This amount was 63.5% at December 31, 2024. The Company’s net reserves for losses and loss adjustment expenses by segment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Net Reserves at September 30, 2025</w:t>
            </w:r>
          </w:p>
        </w:tc>
        <w:tc>
          <w:tcPr>
            <w:tcW w:w="960" w:type="dxa"/>
            <w:vAlign w:val="bottom"/>
          </w:tcPr>
          <w:p>
            <w:pPr>
              <w:spacing w:after="0"/>
              <w:rPr>
                <w:sz w:val="16"/>
                <w:szCs w:val="16"/>
                <w:color w:val="auto"/>
              </w:rPr>
            </w:pPr>
          </w:p>
        </w:tc>
      </w:tr>
      <w:tr>
        <w:trPr>
          <w:trHeight w:val="24"/>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IBNR</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644,199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957,396</w:t>
            </w:r>
          </w:p>
        </w:tc>
      </w:tr>
      <w:tr>
        <w:trPr>
          <w:trHeight w:val="225"/>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129,978</w:t>
            </w: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1,087,374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5"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16"/>
                <w:szCs w:val="16"/>
                <w:color w:val="auto"/>
              </w:rPr>
            </w:pPr>
          </w:p>
        </w:tc>
      </w:tr>
      <w:tr>
        <w:trPr>
          <w:trHeight w:val="23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 (excluding restricted cash equivalents)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(210,465)</w:t>
            </w: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321,372</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72,273</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restricted cash equivalents (operating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(44,085)</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excluding restricted cash equivalents was $7.1 million for the nine months ended September 30, 2025. This compares to cash used in operating activities excluding restricted cash equivalents of $210.5 million for the nine months ended September 30, 2024 (including cash used in operating activities from continuing operations excluding restricted cash equivalents of $185.4 million and cash used in operating activities of discontinued operations of $25.1 million). The current year operating activities were impacted by timing of reinsurance settlements during the first quarter and lower premium collections in the Specialty Admitted Insurance segment due to the non-renewal of several programs. The prior year cash used in operating activities primarily reflects the $313.2 million premium paid in July 2024 to effect the E&amp;S ADC. Excluding the premium payment, cash provided by operating activities was $102.7 million.</w:t>
      </w:r>
    </w:p>
    <w:p>
      <w:pPr>
        <w:spacing w:after="0" w:line="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of $146.4 million for the nine months ended September 30, 2025 reflects efforts to enhance the yield in our investment portfolio by investing available cash and cash equivalents into higher yielding investments. Cash provided by investing activities of $321.4 million for the nine months ended September 30, 2024 included $96.4 million of proceeds received from the sale of JRG Re (net of JRG Re's cash balances sold) and $198.0 million of proceeds from the sales of fixed maturities to provide funding for the premium due under the E&amp;S ADC agreement. Cash and cash equivalents excluding restricted cash equivalents comprised 12.0% and 18.6% of total cash and invested assets at September 30, 2025 and 2024, respectively. Cash used in investing activities from continuing operations was $161.9 million and cash provided by investing activities of discontinued operations was $63.1 million in the prior year period.</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provided by financing activities of $15.7 million for the nine months ended September 30, 2025 includes a $25.0 million borrowing under the Previous Credit Agreement (as defined below), $1.2 million of issuance costs paid upon the Company's entry into the Credit Agreement (as defined below), $1.5 million of dividends paid to common shareholders, $5.9 million of dividends paid on the Series A Preferred Shares, and $646,000 of payroll taxes withheld and remitted on net settlement of RSUs. Cash used in financing activities of $38.6 million for the nine months ended September 30, 2024 includes a $21.5 million repayment of an unsecured loan, $5.8 million of dividends paid to common shareholders, $10.5 million of dividends paid on the Series A Preferred Shares, and $840,000 of payroll taxes withheld and remitted on net settlement of RSUs.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activity in restricted cash equivalents for the nine months ended September 30, 2025 and 2024 relates to a former insured, per the terms of a collateral trust. See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xml:space="preserve"> below.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3"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4"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Business—U.S. Insurance Regulation—State Regulation” in the Company’s Annual Report on Form 10-K for the year ended December 31, 2024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maximum amount of dividends available to the U.S. holding company from our U.S. insurance subsidiaries during 2025 without regulatory approval is $64.3 million.</w:t>
      </w:r>
    </w:p>
    <w:p>
      <w:pPr>
        <w:spacing w:after="0" w:line="57"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rate of 7% of the $1,000 liquidation preference per share (the “Liquidation Preference”) per annum, paid in cash, in-kind in common shares or in Series A Preferred Shares, at our election. On October 1, 2029, and each five-year anniversary thereafter, the dividend rate will reset to a rate equal to the five-year U.S. treasury rate plus 5.2%, provided that the dividend rate shall not exceed 8.0%. Dividends accrue and are payable quarterly. Cash dividends of $5.9 million and $10.5 million were paid in the nine months ended September 30, 2025 and 2024, respectively.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September 30, 2025, the Bermuda holding company had $14.9 million of cash and cash equivalents. The U.S. holding company had $6.8 million of cash and invested assets, comprised of cash and cash equivalents of $3.6 million, equities of $2.8 million and other invested assets of $464,000, which are not subject to regulatory restrictions.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On June 12, 2025, JRG Holdings entered into a Credit Agreement (the “Credit Agreement”). The Credit Agreement replaced JRG Holdings’ previous Third Amended and Restated Credit Agreement dated as of July 7, 2023, as amended (the “Previous Credit Agreement”), that provided for a $212.5 million unsecured revolving credit facility and a $45.0 million secured revolving credit facility.</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231F20"/>
        </w:rPr>
        <w:t>The Credit Agreement provides for a $212.5 million unsecured revolving credit facility available for general corporate purposes and matures on June 12, 2028. Following the sale of JRG Re, the Company no longer has a need for the secured revolving credit facility provided by the Previous Credit Agreement. The interest rates applicable to the loans under the Credit Agreement are generally based on SOFR plus a specified margin based on the Company’s Leverage Ratio (as defined in the Credit Agreement). In addition, JRG Holdings will pay an unused facility fee on each lender’s commitment.</w:t>
      </w:r>
    </w:p>
    <w:p>
      <w:pPr>
        <w:spacing w:after="0" w:line="7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231F20"/>
        </w:rPr>
        <w:t>At September 30, 2025</w:t>
      </w:r>
      <w:r>
        <w:rPr>
          <w:rFonts w:ascii="Times New Roman" w:cs="Times New Roman" w:eastAsia="Times New Roman" w:hAnsi="Times New Roman"/>
          <w:sz w:val="17"/>
          <w:szCs w:val="17"/>
          <w:color w:val="000000"/>
        </w:rPr>
        <w:t>, JRG Holdings had a drawn balance of $210.8 million outstanding on the unsecured revolver of the Credit Agreement, including</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$25.0 million previously borrowed on January 27, 2025 under the Previous Credit Agreement which was contributed to our regulated insurance entities.</w:t>
      </w:r>
    </w:p>
    <w:p>
      <w:pPr>
        <w:spacing w:after="0" w:line="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The Credit Agreement provides for an accordion feature that permits JRG Holdings to request that one or more lenders (without the consent of the other lenders) or new financial institutions (with the consent of the Administrative Agent) provide it with increases in the credit facility of up to an aggregate of $30.0 million, subject to satisfaction of certain conditions.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 w:cs="Times New Roman" w:eastAsia="Times New Roman" w:hAnsi="Times New Roman"/>
          <w:sz w:val="18"/>
          <w:szCs w:val="18"/>
          <w:color w:val="000000"/>
        </w:rPr>
        <w:t>with which the Company was in compliance at</w:t>
      </w:r>
      <w:r>
        <w:rPr>
          <w:rFonts w:ascii="Times New Roman" w:cs="Times New Roman" w:eastAsia="Times New Roman" w:hAnsi="Times New Roman"/>
          <w:sz w:val="18"/>
          <w:szCs w:val="18"/>
          <w:color w:val="231F20"/>
        </w:rPr>
        <w:t xml:space="preserve"> September 30, 2025.</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231F20"/>
        </w:rPr>
        <w:t>In connection with the Credit Agreement, James River Group Holdings UK Limited (“James River UK”), a private limited company incorporated under the Laws of England and Wales and a direct wholly owned subsidiary of JRG Holdings, and James River Group, Inc. (“James River Group”), a Delaware corporation and an indirect wholly owned subsidiary of JRG Holdings, each entered into a Continuing Guaranty of Payment dated June 12, 2025 (each, a “Payment Guaranty”). Pursuant to its respective Payment Guaranty, each of James River UK and James River Group guarantees the payment and performance of the obligations of JRG Holdings under the Credit Agreement and other loan documents.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Debt and Trust Preferred Securities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September 30, 2025, and which, among other things, restrict our ability to issue senior indebtedness secured by our U.S. holding company’s common stock or its subsidiaries’ capital stock or to issue shares of its subsidiaries’ capital stock.</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September 30, 2025 (including the Company’s repurchases of a portion of these trust preferred 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Franklin</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Holdings II</w:t>
            </w: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(Bermuda)</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Trust II</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IV</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Trust I</w:t>
            </w: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 in thousands)</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May 26, 2004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15, 2004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15, 2006</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11,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January 10, 2008</w:t>
            </w: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$30,000</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$7,217</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$55,670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$30,928</w:t>
            </w: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Carrying amount of junior subordinated debt net of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$7,217</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$44,827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$15,928</w:t>
            </w:r>
          </w:p>
        </w:tc>
        <w:tc>
          <w:tcPr>
            <w:tcW w:w="0" w:type="dxa"/>
            <w:vAlign w:val="bottom"/>
          </w:tcPr>
          <w:p>
            <w:pPr>
              <w:spacing w:after="0"/>
              <w:rPr>
                <w:sz w:val="1"/>
                <w:szCs w:val="1"/>
                <w:color w:val="auto"/>
              </w:rPr>
            </w:pPr>
          </w:p>
        </w:tc>
      </w:tr>
      <w:tr>
        <w:trPr>
          <w:trHeight w:val="189"/>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5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May 24, 2034</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15, 2034</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15, 2036</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2037</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 15, 2038</w:t>
            </w: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accelerated earlier</w:t>
            </w:r>
          </w:p>
        </w:tc>
        <w:tc>
          <w:tcPr>
            <w:tcW w:w="152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$217</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$619</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$1,670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$928</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Interest rate, per annum</w:t>
            </w:r>
          </w:p>
        </w:tc>
        <w:tc>
          <w:tcPr>
            <w:tcW w:w="15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17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Three-Month</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Three-Month</w:t>
            </w:r>
          </w:p>
        </w:tc>
        <w:tc>
          <w:tcPr>
            <w:tcW w:w="17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7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0" w:type="dxa"/>
            <w:vAlign w:val="bottom"/>
          </w:tcPr>
          <w:p>
            <w:pPr>
              <w:spacing w:after="0"/>
              <w:rPr>
                <w:sz w:val="1"/>
                <w:szCs w:val="1"/>
                <w:color w:val="auto"/>
              </w:rPr>
            </w:pPr>
          </w:p>
        </w:tc>
      </w:tr>
      <w:tr>
        <w:trPr>
          <w:trHeight w:val="199"/>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September 30, 2025.</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At September 30, 2025 and December 31, 2024, the Company's leverage ratio was 28.5% and 26.6%, respectively. The leverage ratio is defined in the Credit Agreement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James River Insurance Company has access to certain credit products including advances through its membership in the Federal Home Loan Bank. Any advances would be in the form of collateralized short-term borrowings not to exceed 30% of the Company's total assets.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nine months ended September 30, 2025 and 2024, our net premium retention was 46.9% and 43.5%, respectively.</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ceded reinsurance in place as of September 30,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Retention</w:t>
            </w:r>
          </w:p>
        </w:tc>
      </w:tr>
      <w:tr>
        <w:trPr>
          <w:trHeight w:val="24"/>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36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Casualty</w:t>
            </w:r>
          </w:p>
        </w:tc>
        <w:tc>
          <w:tcPr>
            <w:tcW w:w="7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$3.6 million per occurrence.</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9"/>
                <w:szCs w:val="19"/>
                <w:color w:val="auto"/>
              </w:rPr>
            </w:pPr>
          </w:p>
        </w:tc>
      </w:tr>
      <w:tr>
        <w:trPr>
          <w:trHeight w:val="225"/>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Primary Casualty</w:t>
            </w:r>
          </w:p>
        </w:tc>
        <w:tc>
          <w:tcPr>
            <w:tcW w:w="70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$1.46 million per occurrence.</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9"/>
                <w:szCs w:val="19"/>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Casualty</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$2.38 million per occurrence.</w:t>
            </w:r>
          </w:p>
        </w:tc>
        <w:tc>
          <w:tcPr>
            <w:tcW w:w="40" w:type="dxa"/>
            <w:vAlign w:val="bottom"/>
          </w:tcPr>
          <w:p>
            <w:pPr>
              <w:spacing w:after="0"/>
              <w:rPr>
                <w:sz w:val="19"/>
                <w:szCs w:val="19"/>
                <w:color w:val="auto"/>
              </w:rPr>
            </w:pPr>
          </w:p>
        </w:tc>
      </w:tr>
      <w:tr>
        <w:trPr>
          <w:trHeight w:val="22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0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Property</w:t>
            </w:r>
          </w:p>
        </w:tc>
        <w:tc>
          <w:tcPr>
            <w:tcW w:w="7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$5.0 million per risk.</w:t>
            </w:r>
            <w:r>
              <w:rPr>
                <w:rFonts w:ascii="Times New Roman" w:cs="Times New Roman" w:eastAsia="Times New Roman" w:hAnsi="Times New Roman"/>
                <w:sz w:val="22"/>
                <w:szCs w:val="22"/>
                <w:color w:val="auto"/>
                <w:vertAlign w:val="superscript"/>
              </w:rPr>
              <w:t>(3)</w:t>
            </w:r>
          </w:p>
        </w:tc>
        <w:tc>
          <w:tcPr>
            <w:tcW w:w="40" w:type="dxa"/>
            <w:vAlign w:val="bottom"/>
          </w:tcPr>
          <w:p>
            <w:pPr>
              <w:spacing w:after="0"/>
              <w:rPr>
                <w:sz w:val="19"/>
                <w:szCs w:val="19"/>
                <w:color w:val="auto"/>
              </w:rPr>
            </w:pPr>
          </w:p>
        </w:tc>
      </w:tr>
      <w:tr>
        <w:trPr>
          <w:trHeight w:val="39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(1)  Excluding Excess Casualty.</w:t>
            </w:r>
          </w:p>
        </w:tc>
        <w:tc>
          <w:tcPr>
            <w:tcW w:w="7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5"/>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4"/>
                <w:szCs w:val="24"/>
                <w:color w:val="auto"/>
              </w:rPr>
            </w:pPr>
          </w:p>
        </w:tc>
      </w:tr>
      <w:tr>
        <w:trPr>
          <w:trHeight w:val="111"/>
        </w:trPr>
        <w:tc>
          <w:tcPr>
            <w:tcW w:w="37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80" w:hanging="374"/>
        <w:spacing w:after="0"/>
        <w:tabs>
          <w:tab w:leader="none" w:pos="3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$730,000.</w:t>
      </w:r>
    </w:p>
    <w:p>
      <w:pPr>
        <w:spacing w:after="0" w:line="26" w:lineRule="exact"/>
        <w:rPr>
          <w:rFonts w:ascii="Times New Roman" w:cs="Times New Roman" w:eastAsia="Times New Roman" w:hAnsi="Times New Roman"/>
          <w:sz w:val="18"/>
          <w:szCs w:val="18"/>
          <w:i w:val="1"/>
          <w:iCs w:val="1"/>
          <w:color w:val="auto"/>
        </w:rPr>
      </w:pPr>
    </w:p>
    <w:p>
      <w:pPr>
        <w:ind w:left="380" w:hanging="374"/>
        <w:spacing w:after="0"/>
        <w:tabs>
          <w:tab w:leader="none" w:pos="3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$22.0 million per event with one reinstatement.</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Also in our Excess and Surplus Lines segment, a specialty casualty treaty providing $9.0 million in excess of $2.0 million coverage is subject to reinstatement premiums for treaty years spanning July 1, 2017 through July 1, 2022.</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upon the property catastrophe modeling of our Excess and Surplus Lines and Specialty Admitted Insurance segments, it would take an event greater than the 1-in-1,000 year PML to exhaust our $22.0 million property catastrophe reinsurance. In the event of a catastrophe loss exhausting our $22.0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Commercial Auto LPT with Aleka reinsures substantially all of the Excess and Surplus Lines segment’s legacy portfolio of commercial auto policies previously issued to Rasier. See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below for further information on this reinsurance agreement.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E&amp;S ADC with State National applies to James River’s Excess and Surplus Lines segment casualty portfolio losses attaching to premium earned during 2010-2023 (both years inclusive), excluding, among others, losses related to commercial auto policies issued to a former large insured or its affiliates. See “</w:t>
      </w:r>
      <w:r>
        <w:rPr>
          <w:rFonts w:ascii="Times New Roman" w:cs="Times New Roman" w:eastAsia="Times New Roman" w:hAnsi="Times New Roman"/>
          <w:sz w:val="18"/>
          <w:szCs w:val="18"/>
          <w:i w:val="1"/>
          <w:iCs w:val="1"/>
          <w:color w:val="auto"/>
        </w:rPr>
        <w:t>Combined Loss Portfolio Transfer and Adverse Development Cover</w:t>
      </w:r>
      <w:r>
        <w:rPr>
          <w:rFonts w:ascii="Times New Roman" w:cs="Times New Roman" w:eastAsia="Times New Roman" w:hAnsi="Times New Roman"/>
          <w:sz w:val="18"/>
          <w:szCs w:val="18"/>
          <w:color w:val="auto"/>
        </w:rPr>
        <w:t>” above for further information on this reinsurance agreement.</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E&amp;S Top Up ADC with Enstar, through its subsidiary Cavello Bay Reinsurance Limited, reinsures 100% of the losses associated with James River’s Excess and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See “</w:t>
      </w:r>
      <w:r>
        <w:rPr>
          <w:rFonts w:ascii="Times New Roman" w:cs="Times New Roman" w:eastAsia="Times New Roman" w:hAnsi="Times New Roman"/>
          <w:sz w:val="17"/>
          <w:szCs w:val="17"/>
          <w:i w:val="1"/>
          <w:iCs w:val="1"/>
          <w:color w:val="auto"/>
        </w:rPr>
        <w:t>Enstar Strategic Partnership</w:t>
      </w:r>
      <w:r>
        <w:rPr>
          <w:rFonts w:ascii="Times New Roman" w:cs="Times New Roman" w:eastAsia="Times New Roman" w:hAnsi="Times New Roman"/>
          <w:sz w:val="17"/>
          <w:szCs w:val="17"/>
          <w:color w:val="auto"/>
        </w:rPr>
        <w:t>” above for further information on this reinsurance agreement.</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September 30,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4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4"/>
        </w:trPr>
        <w:tc>
          <w:tcPr>
            <w:tcW w:w="3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172"/>
        </w:trPr>
        <w:tc>
          <w:tcPr>
            <w:tcW w:w="3780" w:type="dxa"/>
            <w:vAlign w:val="bottom"/>
            <w:gridSpan w:val="2"/>
            <w:shd w:val="clear" w:color="auto" w:fill="CCEEFF"/>
          </w:tcPr>
          <w:p>
            <w:pPr>
              <w:ind w:left="340"/>
              <w:spacing w:after="0" w:line="172" w:lineRule="exact"/>
              <w:rPr>
                <w:sz w:val="20"/>
                <w:szCs w:val="20"/>
                <w:color w:val="auto"/>
              </w:rPr>
            </w:pPr>
            <w:r>
              <w:rPr>
                <w:rFonts w:ascii="Times New Roman" w:cs="Times New Roman" w:eastAsia="Times New Roman" w:hAnsi="Times New Roman"/>
                <w:sz w:val="18"/>
                <w:szCs w:val="18"/>
                <w:color w:val="auto"/>
              </w:rPr>
              <w:t>Auto Programs</w:t>
            </w:r>
          </w:p>
        </w:tc>
        <w:tc>
          <w:tcPr>
            <w:tcW w:w="7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All programs are quota share coverage for 100% of limits up to $1.0 million liability and $1.0 million</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damage per occurrence; except for one program with a primary limit of $750,000 liability.</w:t>
            </w:r>
          </w:p>
        </w:tc>
      </w:tr>
      <w:tr>
        <w:trPr>
          <w:trHeight w:val="172"/>
        </w:trPr>
        <w:tc>
          <w:tcPr>
            <w:tcW w:w="3780" w:type="dxa"/>
            <w:vAlign w:val="bottom"/>
            <w:gridSpan w:val="2"/>
          </w:tcPr>
          <w:p>
            <w:pPr>
              <w:ind w:left="340"/>
              <w:spacing w:after="0" w:line="172" w:lineRule="exact"/>
              <w:rPr>
                <w:sz w:val="20"/>
                <w:szCs w:val="20"/>
                <w:color w:val="auto"/>
              </w:rPr>
            </w:pPr>
            <w:r>
              <w:rPr>
                <w:rFonts w:ascii="Times New Roman" w:cs="Times New Roman" w:eastAsia="Times New Roman" w:hAnsi="Times New Roman"/>
                <w:sz w:val="18"/>
                <w:szCs w:val="18"/>
                <w:color w:val="auto"/>
              </w:rPr>
              <w:t>General Liability &amp; Professional Liability</w:t>
            </w:r>
          </w:p>
        </w:tc>
        <w:tc>
          <w:tcPr>
            <w:tcW w:w="7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Quota share coverage for 100% of limits up to $2.0 million per occurrence.</w:t>
            </w:r>
          </w:p>
        </w:tc>
      </w:tr>
      <w:tr>
        <w:trPr>
          <w:trHeight w:val="235"/>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Programs</w:t>
            </w:r>
          </w:p>
        </w:tc>
        <w:tc>
          <w:tcPr>
            <w:tcW w:w="7420" w:type="dxa"/>
            <w:vAlign w:val="bottom"/>
          </w:tcPr>
          <w:p>
            <w:pPr>
              <w:spacing w:after="0"/>
              <w:rPr>
                <w:sz w:val="20"/>
                <w:szCs w:val="20"/>
                <w:color w:val="auto"/>
              </w:rPr>
            </w:pPr>
          </w:p>
        </w:tc>
      </w:tr>
      <w:tr>
        <w:trPr>
          <w:trHeight w:val="229"/>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Umbrella and Excess Casualty -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$25.0 million per occurrence.</w:t>
            </w:r>
          </w:p>
        </w:tc>
      </w:tr>
      <w:tr>
        <w:trPr>
          <w:trHeight w:val="22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420" w:type="dxa"/>
            <w:vAlign w:val="bottom"/>
          </w:tcPr>
          <w:p>
            <w:pPr>
              <w:spacing w:after="0"/>
              <w:rPr>
                <w:sz w:val="19"/>
                <w:szCs w:val="19"/>
                <w:color w:val="auto"/>
              </w:rPr>
            </w:pPr>
          </w:p>
        </w:tc>
      </w:tr>
      <w:tr>
        <w:trPr>
          <w:trHeight w:val="225"/>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within Package -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Uncapped quota share coverage for 100% of limits.</w:t>
            </w:r>
          </w:p>
        </w:tc>
      </w:tr>
      <w:tr>
        <w:trPr>
          <w:trHeight w:val="207"/>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Aviation Programs</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90.0% of limits up to $25.0 million liability, $10.0 million hull, and $10.0</w:t>
            </w:r>
          </w:p>
        </w:tc>
      </w:tr>
      <w:tr>
        <w:trPr>
          <w:trHeight w:val="212"/>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million spares per occurrence, each aircraft; and excess of loss coverage for up to $4.3 million excess of</w:t>
            </w:r>
          </w:p>
        </w:tc>
      </w:tr>
      <w:tr>
        <w:trPr>
          <w:trHeight w:val="231"/>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$150,000 of our 10.0% share of the quota share each occurrence.</w:t>
            </w:r>
          </w:p>
        </w:tc>
      </w:tr>
    </w:tbl>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90.0% of the exposed limits on specialty admitted property-casualty business. While the segment focuses on casualty business, incidental property risk is incurred in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fronting and program business. The segment is covered for $22.0 million in excess of $3.0 million per occurrence to manage its property catastrophe exposure to an approximate 1 in 1,000 year PML.</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aggregate, we believe our pre-tax group-wide PML from a 1-in-1,000 year property catastrophe event would not exceed 2.5% of shareholders’ equity, inclusive of reinstatement premiums payable.</w:t>
      </w:r>
    </w:p>
    <w:p>
      <w:pPr>
        <w:spacing w:after="0" w:line="5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September 30, 2025, the allowance for credit losses on reinsurance recoverables was $1.5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September 30, 2025, we had reinsurance recoverables on unpaid losses of $2,027.9 million (net of a $1.5 million allowance for credit losses) and reinsurance recoverables on paid losses of $125.4 million, and all material recoverable amounts were from companies with A.M. Best ratings of “A-” (Excellent) or better, or are collateralized by the reinsurer for our benefit through letters of credit or funds on deposit in trust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of Rasier and Aleka are required to post collateral equal to 102% of James River's estimate of the respective party's obligations in trusts pursuant to the terms of the Indemnity Agreements and the Commercial Auto LPT, respectively. At September 30, 2025, the total balance of collateral securing Rasier's obligations under the Indemnity Agreements was $43.5 million and Aleka's obligations under the Commercial Auto LPT was $21.0 million. At September 30, 2025, the total reinsurance recoverables under the Commercial Auto LPT was $20.3 million.</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A.M. Best Company financial strength rating for our U.S.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A- rating is the fourth highest rating of the thirteen ratings issued by A.M. Best and is assigned to insurers that have, in A.M. Best’s opinion, an excellent ability to meet their ongoing obligations to policyholders.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rate of 7% of the Liquidation Preference per annum, which may be paid in cash, in-kind in common shares or in Series A Preferred Shares, at the Company’s election.</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setting forth the terms of the Series A Preferred Shares to, among other things, convert 37,500 outstanding Series A Preferred Shares with a liquidation value of $37.5 million to common shares at a per share price of $6.40. Following the conversion, 112,500 Series A Preferred Shares remain outstanding.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common shares outstanding increased from 45,644,318 at December 31, 2024 to 45,936,898 at September 30, 2025, reflecting 292,580 common shares issued in the nine months ended September 30, 2025 related to vesting of RSUs.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recognized $847,000 and $4.3 million of share based compensation expense in the three and nine months ended September 30, 2025, respectively ($1.4 million and $5.7 million in the respective prior year periods). At September 30, 2025, the Company had $5.8 million of unrecognized share based compensation expense expected to be charged to earnings over a weighted-average period of 1.9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1"/>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1,370,167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541,520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(420,936)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1,543,765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2025 and 2024 include 620,108 and 231,492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December 31, 2023, the Company had 74,390 options outstanding with an average weighted exercise price of $42.17. The options lapsed in the six months ended June 30, 2024, after which, there have been no options outstanding.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Performance Ratios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160" w:type="dxa"/>
            <w:vAlign w:val="bottom"/>
            <w:gridSpan w:val="3"/>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3"/>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8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r>
      <w:tr>
        <w:trPr>
          <w:trHeight w:val="265"/>
        </w:trPr>
        <w:tc>
          <w:tcPr>
            <w:tcW w:w="50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105.9 %</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108.3 %</w:t>
            </w:r>
          </w:p>
        </w:tc>
      </w:tr>
      <w:tr>
        <w:trPr>
          <w:trHeight w:val="265"/>
        </w:trPr>
        <w:tc>
          <w:tcPr>
            <w:tcW w:w="50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80.8 %</w:t>
            </w:r>
          </w:p>
        </w:tc>
      </w:tr>
      <w:tr>
        <w:trPr>
          <w:trHeight w:val="225"/>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82.9 %</w:t>
            </w:r>
          </w:p>
        </w:tc>
      </w:tr>
      <w:tr>
        <w:trPr>
          <w:trHeight w:val="265"/>
        </w:trPr>
        <w:tc>
          <w:tcPr>
            <w:tcW w:w="5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109.6 %</w:t>
            </w:r>
          </w:p>
        </w:tc>
      </w:tr>
      <w:tr>
        <w:trPr>
          <w:trHeight w:val="225"/>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1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See “Key Metrics” above for descriptions of why management believes the following Non-GAAP measures provide useful information about our financial condition and results of operation.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underwriting profit of the operating segments by individual segment to consolidated income from continuing operations before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operating segments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(47,407)</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71,127</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r>
      <w:tr>
        <w:trPr>
          <w:trHeight w:val="22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right="500" w:hanging="316"/>
        <w:spacing w:after="0" w:line="276" w:lineRule="auto"/>
        <w:tabs>
          <w:tab w:leader="none" w:pos="63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underwriting results for the three and nine months ended September 30, 2025 is gross fee income of $2.9 million and $11.2 million, respectively ($5.2 million and $16.1 million in the respective prior year periods).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should not be viewed as a substitute for net income calculated in accordance with GAAP, and our definition of adjusted net operating income may not be comparable to that of other companies.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available to common shareholders reconciles to our adjusted net operating income as follows:</w:t>
      </w:r>
    </w:p>
    <w:p>
      <w:pPr>
        <w:spacing w:after="0" w:line="14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460" w:type="dxa"/>
            <w:vAlign w:val="bottom"/>
          </w:tcPr>
          <w:p>
            <w:pPr>
              <w:spacing w:after="0"/>
              <w:rPr>
                <w:sz w:val="11"/>
                <w:szCs w:val="11"/>
                <w:color w:val="auto"/>
              </w:rPr>
            </w:pPr>
          </w:p>
        </w:tc>
        <w:tc>
          <w:tcPr>
            <w:tcW w:w="980" w:type="dxa"/>
            <w:vAlign w:val="bottom"/>
            <w:gridSpan w:val="2"/>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320" w:type="dxa"/>
            <w:vAlign w:val="bottom"/>
          </w:tcPr>
          <w:p>
            <w:pPr>
              <w:spacing w:after="0"/>
              <w:rPr>
                <w:sz w:val="11"/>
                <w:szCs w:val="11"/>
                <w:color w:val="auto"/>
              </w:rPr>
            </w:pPr>
          </w:p>
        </w:tc>
        <w:tc>
          <w:tcPr>
            <w:tcW w:w="1020" w:type="dxa"/>
            <w:vAlign w:val="bottom"/>
            <w:vMerge w:val="restart"/>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Before</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560"/>
              <w:spacing w:after="0" w:line="144"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available to common shareholders</w:t>
            </w:r>
          </w:p>
        </w:tc>
        <w:tc>
          <w:tcPr>
            <w:tcW w:w="9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64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4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320" w:type="dxa"/>
            <w:vAlign w:val="bottom"/>
          </w:tcPr>
          <w:p>
            <w:pPr>
              <w:spacing w:after="0"/>
              <w:rPr>
                <w:sz w:val="11"/>
                <w:szCs w:val="11"/>
                <w:color w:val="auto"/>
              </w:rPr>
            </w:pPr>
          </w:p>
        </w:tc>
        <w:tc>
          <w:tcPr>
            <w:tcW w:w="1020" w:type="dxa"/>
            <w:vAlign w:val="bottom"/>
            <w:vMerge w:val="restart"/>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560"/>
              <w:spacing w:after="0" w:line="146"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available to common shareholders</w:t>
            </w:r>
          </w:p>
        </w:tc>
        <w:tc>
          <w:tcPr>
            <w:tcW w:w="9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64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5"/>
        </w:trPr>
        <w:tc>
          <w:tcPr>
            <w:tcW w:w="4960" w:type="dxa"/>
            <w:vAlign w:val="bottom"/>
          </w:tcPr>
          <w:p>
            <w:pPr>
              <w:spacing w:after="0"/>
              <w:rPr>
                <w:sz w:val="24"/>
                <w:szCs w:val="24"/>
                <w:color w:val="auto"/>
              </w:rPr>
            </w:pPr>
          </w:p>
        </w:tc>
        <w:tc>
          <w:tcPr>
            <w:tcW w:w="9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(per Share) and Tangible Common Equity (per Share)</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 Tangible common equity is defined as shareholders' equity plus the deferred retroactive reinsurance gain less goodwill and intangible assets, net of amortization. Tangible common equity per share represents tangible common equity divided by the total common shares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reconciles shareholders’ equity to tangible common equity as of September 30, 2025, December 31, 2024, and September 30,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amounts)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530,347</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Series A redeemable preferred shares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Deferred reinsurance gain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Goodwill</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Intangible assets, net</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equity</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491,874</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Series A redeemable preferred shares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common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378,425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304,604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45,936,898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37,829,475</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from assumed conversion of Series A Preferred Shares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6,848,763</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 after assumed conversion of Series A Preferred Shares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59,458,532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59,165,952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44,678,238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per share: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common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955"/>
        </w:trPr>
        <w:tc>
          <w:tcPr>
            <w:tcW w:w="6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Item 7A of our Annual Report on Form 10-K for the year ended December 31,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September 30, 2025,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our quarter ended September 30, 2025 that have materially affected, or are reasonably likely to materially affect, our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“Contingent Liabilities - Legal Proceedings” in note 8 of the notes to the unaudited consolidated financial statements contained in this quarterly report and is incorporated by reference into this Item 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in the quarter ended September 30, 2025 from those disclosed in our Annual Report on Form 10-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2024, except as follows: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CHANGE IN OUR PLACE OF INCORPORATION</w:t>
      </w:r>
    </w:p>
    <w:p>
      <w:pPr>
        <w:spacing w:after="0" w:line="21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your rights as a shareholder of JRG Holdings arise under Bermuda law as well as our existing Bermuda memorandum of association and bye-laws. Upon effectiveness of the Domestication, your rights as a shareholder of JRG Holdings will arise under Delaware law as well as our new Delaware certificate of incorporation and by-laws.</w:t>
      </w:r>
    </w:p>
    <w:p>
      <w:pPr>
        <w:spacing w:after="0" w:line="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Upon effectiveness of the Domestication, the rights of stockholders of James River Delaware will arise under the new certificate of incorporation and by-laws of James River Delaware as well as Delaware law. Those new organizational documents and Delaware law contain provisions that differ in some respects from those in our current organizational documents and Bermuda law and, therefore, some of your rights as a stockholder of James River Delaware will differ from the rights you currently possess as a shareholder of JRG Holdings. For example, under Bermuda law,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under Bermuda law. No similar right is available under Delaware law. Also, while class actions and derivative actions are generally not available to shareholders under Bermuda law, such actions are generally available under Delaware law. This change could increase the likelihood that we become involved in costly litigation, which could harm our business. Additionally, there are differences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between the new organizational documents of James River Delaware and the current organizational documents of JRG Holdings. For example, while our current bye-laws require approval of our board and shareholders to amend any provision of the bye-laws, the James River Delaware by-laws may generally be amended by the board of directors of James River Delaware, as permitted under the Delaware General Corporation Law (the “DGCL”).</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a summary description of your rights as a stockholder of James River Delaware and how they differ or may differ from your rights as a shareholder of JRG Holdings, please see “Description of Capital Stock—Differences Between the Governing Corporate Law and Organizational Documents for James River Bermuda and James River Delaware” in the Domestication Prospectus. Forms of the new certificate of incorporation and by-laws of James River Delaware are attached, respectively, as Appendix A and Appendix B to the Domestication Prospectus, and we urge you to read them as well.</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Corporate Effective Tax Rate may increase as a result of the Domestication.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Following the Domestication, James River Delaware will be subject to U.S. tax on its income and capital gains and the combined effective tax rate with respect to us and our direct and indirect subsidiaries (the “Effective Tax Rate”) may change significantly, which could materially impact our financial results, including our earnings and cash flow, and reduce the amount of cash available for dividends for periods after the Domestication. The Effective Tax Rate, which fluctuates significantly from period to period, is based upon the application of currently applicable income tax laws and regulations, as well as current judicial and administrative interpretations of these income tax laws and regulations, in various jurisdictions, including many other than the jurisdiction where we are organized and domiciled.</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highest statutory corporate tax rate for U.S. federal income tax purposes is currently 21%. The Effective Tax Rate for purposes of financial reporting may, however, vary significantly from the statutory rates under which we operate (including the U.S. statutory rate that would apply after the Domestication) because of, among other things, timing differences in the recognition of income and expense for U.S. GAAP and tax purposes. We are unable to predict with certainty the impact of the Domestication on the Effective Tax Rate going forward. In addition, the tax laws of the United States and other jurisdictions could change in the future, and those changes could cause a material increase in our Effective Tax Rate at a later date as well.</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Certain holders of JRG Holdings Stock may be required to recognize gain for U.S. federal income tax purposes as a result of the Domestication.</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discussed more fully in “Material U.S. Federal Income Tax Consequences of the Domestication” in the Domestication Prospectus, it is expected that the Domestication will constitute a reorganization within the meaning of Section 368(a)(1)(F) of the Internal Revenue Code of 1986, as amended (the “Code”) (an “F Reorganization”). Assuming that the Domestication so qualifies, United States Holders (as defined in such section) of JRG Holdings Stock (as defined in such section) will be subject to Section 367(b) of the Code and, as a result:</w:t>
      </w:r>
    </w:p>
    <w:p>
      <w:pPr>
        <w:spacing w:after="0" w:line="74" w:lineRule="exact"/>
        <w:rPr>
          <w:sz w:val="20"/>
          <w:szCs w:val="20"/>
          <w:color w:val="auto"/>
        </w:rPr>
      </w:pPr>
    </w:p>
    <w:p>
      <w:pPr>
        <w:jc w:val="both"/>
        <w:ind w:left="640" w:hanging="316"/>
        <w:spacing w:after="0" w:line="274"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discussion below concerning the application of the PFIC rules to the Domestication, a United States Holder of JRG Holdings Stock whose stock has a fair market value of less than $50,000 on the date of the Domestication and who does not actually and/or constructively own (i) 10% or more of the total combined voting power of all classes of JRG Holdings shares entitled to vote or (ii) 10% or more of the total value of all classes of JRG Holdings shares will not recognize any gain or loss and will not be required to include any part of JRG Holdings’ earnings in income.</w:t>
      </w:r>
    </w:p>
    <w:p>
      <w:pPr>
        <w:spacing w:after="0" w:line="61" w:lineRule="exact"/>
        <w:rPr>
          <w:rFonts w:ascii="Times New Roman" w:cs="Times New Roman" w:eastAsia="Times New Roman" w:hAnsi="Times New Roman"/>
          <w:sz w:val="17"/>
          <w:szCs w:val="17"/>
          <w:color w:val="auto"/>
        </w:rPr>
      </w:pPr>
    </w:p>
    <w:p>
      <w:pPr>
        <w:jc w:val="both"/>
        <w:ind w:left="640" w:hanging="316"/>
        <w:spacing w:after="0" w:line="249"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discussion below concerning the application of the PFIC rules to the Domestication, a United States Holder of JRG Holdings Stock whose ordinary shares have a fair market value of $50,000 or more, but who does not actually and/or constructively own (i) 10% or more of the total combined voting power of all classes of JRG Holdings shares entitled to vote or (ii) 10% or more of the total value of all classes of JRG Holdings shares will generally recognize gain (but not loss) on the deemed receipt of James River Delaware Stock (as defined in “Material U.S. Federal Income Tax Consequences of the Domestication” in the Domestication Prospectus) in the Domestication. As an alternative to recognizing gain as a result of the Domestication, such United States Holder may file an election to include in income, as a dividend, the “all earnings and profits amount” (as defined in the regulations of the United States Treasury (the “Treasury Regulations”) under Section 367) attributable to its JRG Holdings Stock provided certain other requirements are satisfied.</w:t>
      </w:r>
    </w:p>
    <w:p>
      <w:pPr>
        <w:spacing w:after="0" w:line="8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discussion below concerning the application of the PFIC rules to the Domestication, a United States Holder of JRG Holdings Stock who on the date of the Domestication actually and/or constructively owns (i) 10% or more of the total combined voting power of all classes of JRG Holdings shares entitled to vote or (ii) 10% or more of the total value of all classes of JRG Holdings shares (a “10% Shareholder”) will generally be required to include in income, as a dividend, the “all earnings and profits amount” (as defined in the Treasury Regulations under Section 367) attributable to its JRG Holdings shares provided certain other requirements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left="640" w:hanging="316"/>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further under “Material U.S. Federal Income Tax Consequences of the Domestication” in the Domestication Prospectus, JRG Holdings believes that it is not and has not been a PFIC for U.S. federal income tax purposes. In the event that JRG Holdings is (or in some cases has been) treated as a PFIC, notwithstanding the foregoing, proposed Treasury Regulations under Section 1291(f) of the Code (which have a retroactive effective date), if finalized in their current form, generally would require a United States Holder to recognize gain as a result of the Domestication unless the United States Holder makes (or has made) certain elections discussed further under “Material U.S. Federal Income Tax Consequences of the Domestication” in the Domestication Prospectus.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For a more complete discussion of the potential application of the PFIC rules to United States Holders as a result of the Domestication, see “Material U.S. Federal Income Tax Consequences of the Domestication” in the Domestication Prospectus. Each United States Holder of JRG Holdings Stock is urged to consult its own tax advisor concerning the application of the PFIC rules to the exchange of JRG Holdings Stock for James River Delaware Stock pursuant to the Domestication.</w:t>
      </w:r>
    </w:p>
    <w:p>
      <w:pPr>
        <w:spacing w:after="0" w:line="8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tax consequences of the Domestication are complex and will depend on a holder’s particular circumstances. All holders are strongly urged to consult their tax advisor for a full description and understanding of the tax consequences of the Domestication, including the applicability and effect of U.S. federal, state, local and foreign income and other tax laws. For a complete discussion of the material U.S. federal income tax consequences of the Domestication, see “Material U.S. Federal Income Tax Consequences of the Domestication” in the Domestication Prospectus.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203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44" w:lineRule="exact"/>
        <w:rPr>
          <w:sz w:val="20"/>
          <w:szCs w:val="20"/>
          <w:color w:val="auto"/>
        </w:rPr>
      </w:pPr>
    </w:p>
    <w:p>
      <w:pPr>
        <w:ind w:right="60"/>
        <w:spacing w:after="0" w:line="231" w:lineRule="auto"/>
        <w:rPr>
          <w:rFonts w:ascii="Times New Roman" w:cs="Times New Roman" w:eastAsia="Times New Roman" w:hAnsi="Times New Roman"/>
          <w:sz w:val="17"/>
          <w:szCs w:val="17"/>
          <w:u w:val="single" w:color="auto"/>
          <w:color w:val="0000FF"/>
        </w:rPr>
      </w:pPr>
      <w:hyperlink r:id="rId88">
        <w:r>
          <w:rPr>
            <w:rFonts w:ascii="Times New Roman" w:cs="Times New Roman" w:eastAsia="Times New Roman" w:hAnsi="Times New Roman"/>
            <w:sz w:val="17"/>
            <w:szCs w:val="17"/>
            <w:u w:val="single" w:color="auto"/>
            <w:color w:val="0000FF"/>
          </w:rPr>
          <w:t>Amended and Restated Employment Agreement, dated January 15, 2018, by and among James River Group, Inc., certain</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subsidiaries of James River Group, Inc. and Richard Schmitzer (incorporated by reference to Exhibit 10.22 to Annual</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Report on Form 10-K filed on March 1, 2018, Commission File No. 001-36777)</w:t>
        </w:r>
      </w:hyperlink>
    </w:p>
    <w:p>
      <w:pPr>
        <w:spacing w:after="0" w:line="91" w:lineRule="exact"/>
        <w:rPr>
          <w:sz w:val="20"/>
          <w:szCs w:val="20"/>
          <w:color w:val="auto"/>
        </w:rPr>
      </w:pPr>
    </w:p>
    <w:p>
      <w:pPr>
        <w:ind w:right="180"/>
        <w:spacing w:after="0" w:line="234"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Amendment dated August 11, 2025 to Amended and Restated Employment Agreement, dated January 15, 2018, by and</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among James River Group, Inc., certain subsidiaries of James River Group, Inc. and Richard Schmitzer</w:t>
        </w:r>
      </w:hyperlink>
    </w:p>
    <w:p>
      <w:pPr>
        <w:spacing w:after="0" w:line="44" w:lineRule="exact"/>
        <w:rPr>
          <w:sz w:val="20"/>
          <w:szCs w:val="20"/>
          <w:color w:val="auto"/>
        </w:rPr>
      </w:pPr>
    </w:p>
    <w:p>
      <w:pPr>
        <w:sectPr>
          <w:pgSz w:w="11900" w:h="16838" w:orient="portrait"/>
          <w:cols w:equalWidth="0" w:num="2">
            <w:col w:w="1880" w:space="720"/>
            <w:col w:w="8620"/>
          </w:cols>
          <w:pgMar w:left="320" w:top="121" w:right="359" w:bottom="1440" w:gutter="0" w:footer="0" w:header="0"/>
        </w:sect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17"/>
                <w:szCs w:val="17"/>
                <w:color w:val="auto"/>
              </w:rPr>
            </w:pPr>
          </w:p>
        </w:tc>
        <w:tc>
          <w:tcPr>
            <w:tcW w:w="85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Fourth Amendment to the James River Group Holdings, Ltd. 2014 Long-Term Incentive Plan (incorporated by reference</w:t>
              </w:r>
            </w:hyperlink>
          </w:p>
        </w:tc>
        <w:tc>
          <w:tcPr>
            <w:tcW w:w="120" w:type="dxa"/>
            <w:vAlign w:val="bottom"/>
            <w:gridSpan w:val="2"/>
          </w:tcPr>
          <w:p>
            <w:pPr>
              <w:spacing w:after="0"/>
              <w:rPr>
                <w:sz w:val="17"/>
                <w:szCs w:val="17"/>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40" w:type="dxa"/>
            <w:vAlign w:val="bottom"/>
            <w:gridSpan w:val="10"/>
          </w:tcPr>
          <w:p>
            <w:pPr>
              <w:spacing w:after="0" w:line="152"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to Exhibit 10.1 to the Registrant’s Current Report on Form 8-K filed with the Commission on October 24, 2025) (File No.</w:t>
              </w:r>
            </w:hyperlink>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5"/>
              </w:rPr>
            </w:pPr>
            <w:hyperlink r:id="rId90">
              <w:r>
                <w:rPr>
                  <w:rFonts w:ascii="Times New Roman" w:cs="Times New Roman" w:eastAsia="Times New Roman" w:hAnsi="Times New Roman"/>
                  <w:sz w:val="18"/>
                  <w:szCs w:val="18"/>
                  <w:color w:val="0000FF"/>
                  <w:w w:val="95"/>
                </w:rPr>
                <w:t>001-36777)</w:t>
              </w:r>
            </w:hyperlink>
          </w:p>
        </w:tc>
        <w:tc>
          <w:tcPr>
            <w:tcW w:w="114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2"/>
                <w:szCs w:val="22"/>
                <w:color w:val="auto"/>
              </w:rPr>
            </w:pPr>
          </w:p>
        </w:tc>
        <w:tc>
          <w:tcPr>
            <w:tcW w:w="8640" w:type="dxa"/>
            <w:vAlign w:val="bottom"/>
            <w:gridSpan w:val="10"/>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Third Amendment to the James River Group Holdings, Ltd. 2014 Non-Employee Director Incentive Plan (incorporated</w:t>
              </w:r>
            </w:hyperlink>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20" w:type="dxa"/>
            <w:vAlign w:val="bottom"/>
            <w:tcBorders>
              <w:top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by reference to Exhibit 10.2 to the Registrant’s Current Report on Form 8-K filed with the Commission on October 24,</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91">
              <w:r>
                <w:rPr>
                  <w:rFonts w:ascii="Times New Roman" w:cs="Times New Roman" w:eastAsia="Times New Roman" w:hAnsi="Times New Roman"/>
                  <w:sz w:val="18"/>
                  <w:szCs w:val="18"/>
                  <w:color w:val="0000FF"/>
                  <w:w w:val="96"/>
                </w:rPr>
                <w:t>2025) (File No. 001-36777)</w:t>
              </w:r>
            </w:hyperlink>
          </w:p>
        </w:tc>
        <w:tc>
          <w:tcPr>
            <w:tcW w:w="6440" w:type="dxa"/>
            <w:vAlign w:val="bottom"/>
            <w:tcBorders>
              <w:top w:val="single" w:sz="8" w:color="0000FF"/>
            </w:tcBorders>
            <w:gridSpan w:val="4"/>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rPr>
                <w:sz w:val="22"/>
                <w:szCs w:val="22"/>
                <w:color w:val="auto"/>
              </w:rPr>
            </w:pPr>
          </w:p>
        </w:tc>
        <w:tc>
          <w:tcPr>
            <w:tcW w:w="5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Chief Executive Officer Certification pursuant to Rule 13a-14(a)/15d-14(a)</w:t>
            </w:r>
          </w:p>
        </w:tc>
        <w:tc>
          <w:tcPr>
            <w:tcW w:w="3320" w:type="dxa"/>
            <w:vAlign w:val="bottom"/>
            <w:gridSpan w:val="5"/>
          </w:tcPr>
          <w:p>
            <w:pPr>
              <w:spacing w:after="0"/>
              <w:rPr>
                <w:sz w:val="22"/>
                <w:szCs w:val="22"/>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00" w:type="dxa"/>
            <w:vAlign w:val="bottom"/>
          </w:tcPr>
          <w:p>
            <w:pPr>
              <w:spacing w:after="0"/>
              <w:rPr>
                <w:sz w:val="22"/>
                <w:szCs w:val="22"/>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13a-14(a)/15d-14(a)</w:t>
            </w: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700" w:type="dxa"/>
            <w:vAlign w:val="bottom"/>
          </w:tcPr>
          <w:p>
            <w:pPr>
              <w:spacing w:after="0"/>
              <w:rPr>
                <w:sz w:val="22"/>
                <w:szCs w:val="22"/>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Chief Executive Officer and Chief Financial Officer Certification pursuant to 18 U.S.C. Section 1350, as adopted</w:t>
            </w: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4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12"/>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00" w:type="dxa"/>
            <w:vAlign w:val="bottom"/>
          </w:tcPr>
          <w:p>
            <w:pPr>
              <w:spacing w:after="0"/>
              <w:rPr>
                <w:sz w:val="24"/>
                <w:szCs w:val="24"/>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00" w:type="dxa"/>
            <w:vAlign w:val="bottom"/>
          </w:tcPr>
          <w:p>
            <w:pPr>
              <w:spacing w:after="0"/>
              <w:rPr>
                <w:sz w:val="24"/>
                <w:szCs w:val="24"/>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00" w:type="dxa"/>
            <w:vAlign w:val="bottom"/>
          </w:tcPr>
          <w:p>
            <w:pPr>
              <w:spacing w:after="0"/>
              <w:rPr>
                <w:sz w:val="24"/>
                <w:szCs w:val="24"/>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00" w:type="dxa"/>
            <w:vAlign w:val="bottom"/>
          </w:tcPr>
          <w:p>
            <w:pPr>
              <w:spacing w:after="0"/>
              <w:rPr>
                <w:sz w:val="24"/>
                <w:szCs w:val="24"/>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00" w:type="dxa"/>
            <w:vAlign w:val="bottom"/>
          </w:tcPr>
          <w:p>
            <w:pPr>
              <w:spacing w:after="0"/>
              <w:rPr>
                <w:sz w:val="24"/>
                <w:szCs w:val="24"/>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00" w:type="dxa"/>
            <w:vAlign w:val="bottom"/>
          </w:tcPr>
          <w:p>
            <w:pPr>
              <w:spacing w:after="0"/>
              <w:rPr>
                <w:sz w:val="24"/>
                <w:szCs w:val="24"/>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19"/>
                <w:szCs w:val="19"/>
                <w:color w:val="auto"/>
              </w:rPr>
            </w:pPr>
          </w:p>
        </w:tc>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 the cover page XBRL tags are embedded within the Inline XBRL document in Exhibit</w:t>
            </w:r>
          </w:p>
        </w:tc>
      </w:tr>
      <w:tr>
        <w:trPr>
          <w:trHeight w:val="235"/>
        </w:trPr>
        <w:tc>
          <w:tcPr>
            <w:tcW w:w="1900" w:type="dxa"/>
            <w:vAlign w:val="bottom"/>
            <w:tcBorders>
              <w:bottom w:val="single" w:sz="8" w:color="auto"/>
            </w:tcBorders>
          </w:tcPr>
          <w:p>
            <w:pPr>
              <w:spacing w:after="0"/>
              <w:rPr>
                <w:sz w:val="20"/>
                <w:szCs w:val="20"/>
                <w:color w:val="auto"/>
              </w:rPr>
            </w:pPr>
          </w:p>
        </w:tc>
        <w:tc>
          <w:tcPr>
            <w:tcW w:w="1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8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46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James River Group Holdings, Ltd.</w:t>
            </w:r>
          </w:p>
        </w:tc>
      </w:tr>
      <w:tr>
        <w:trPr>
          <w:trHeight w:val="44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2025</w:t>
            </w:r>
          </w:p>
        </w:tc>
        <w:tc>
          <w:tcPr>
            <w:tcW w:w="19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N. D’Orazio</w:t>
            </w:r>
          </w:p>
        </w:tc>
      </w:tr>
      <w:tr>
        <w:trPr>
          <w:trHeight w:val="213"/>
        </w:trPr>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N. D’Orazio</w:t>
            </w:r>
          </w:p>
        </w:tc>
      </w:tr>
      <w:tr>
        <w:trPr>
          <w:trHeight w:val="225"/>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1"/>
        </w:trPr>
        <w:tc>
          <w:tcPr>
            <w:tcW w:w="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2025</w:t>
            </w:r>
          </w:p>
        </w:tc>
        <w:tc>
          <w:tcPr>
            <w:tcW w:w="19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C. Doran</w:t>
            </w:r>
          </w:p>
        </w:tc>
      </w:tr>
      <w:tr>
        <w:trPr>
          <w:trHeight w:val="213"/>
        </w:trPr>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C. Doran</w:t>
            </w:r>
          </w:p>
        </w:tc>
      </w:tr>
      <w:tr>
        <w:trPr>
          <w:trHeight w:val="225"/>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54"/>
        </w:trPr>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c>
          <w:tcPr>
            <w:tcW w:w="4180" w:type="dxa"/>
            <w:vAlign w:val="bottom"/>
          </w:tcPr>
          <w:p>
            <w:pPr>
              <w:spacing w:after="0"/>
              <w:rPr>
                <w:sz w:val="24"/>
                <w:szCs w:val="24"/>
                <w:color w:val="auto"/>
              </w:rPr>
            </w:pPr>
          </w:p>
        </w:tc>
      </w:tr>
    </w:tbl>
    <w:p>
      <w:pPr>
        <w:sectPr>
          <w:pgSz w:w="11900" w:h="16838" w:orient="portrait"/>
          <w:cols w:equalWidth="0" w:num="1">
            <w:col w:w="11040"/>
          </w:cols>
          <w:pgMar w:left="320" w:top="121" w:right="5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N. D’Orazio, certify that:</w:t>
      </w:r>
    </w:p>
    <w:p>
      <w:pPr>
        <w:spacing w:after="0" w:line="111"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550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35420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04" w:lineRule="exact"/>
        <w:rPr>
          <w:sz w:val="20"/>
          <w:szCs w:val="20"/>
          <w:color w:val="auto"/>
        </w:rPr>
      </w:pPr>
    </w:p>
    <w:p>
      <w:pPr>
        <w:ind w:right="340" w:firstLine="636"/>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James River Group Holdings, Ltd. (the “Company”) on Form 10-Q for the period ended September 30, 2025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4" w:lineRule="exact"/>
        <w:rPr>
          <w:sz w:val="20"/>
          <w:szCs w:val="20"/>
          <w:color w:val="auto"/>
        </w:rPr>
      </w:pPr>
    </w:p>
    <w:p>
      <w:pPr>
        <w:ind w:left="640" w:hanging="63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9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4, 2025</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9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Sarah C. Doran</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4, 2025</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1."/>
      <w:numFmt w:val="decimal"/>
      <w:start w:val="14"/>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88" Type="http://schemas.openxmlformats.org/officeDocument/2006/relationships/hyperlink" Target="https://www.sec.gov/Archives/edgar/data/1620459/000162828018002654/jrvrex102212312017.htm" TargetMode="External"/><Relationship Id="rId89" Type="http://schemas.openxmlformats.org/officeDocument/2006/relationships/hyperlink" Target="https://www.sec.gov/Archives/edgar/data/1620459/000162045925000117/exhibit101-amendmenttoempl.htm" TargetMode="External"/><Relationship Id="rId90" Type="http://schemas.openxmlformats.org/officeDocument/2006/relationships/hyperlink" Target="https://www.sec.gov/Archives/edgar/data/1620459/000162045925000123/ex101-4thamendmentto2014lt.htm" TargetMode="External"/><Relationship Id="rId91" Type="http://schemas.openxmlformats.org/officeDocument/2006/relationships/hyperlink" Target="https://www.sec.gov/Archives/edgar/data/1620459/000162045925000123/ex102-3rdamendmentto2014n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2025-11-04T15:28:58Z</dcterms:created>
  <dcterms:modified xsi:type="dcterms:W3CDTF">2025-11-04T15:28:58Z</dcterms:modified>
</cp:coreProperties>
</file>